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F520" w14:textId="77777777" w:rsidR="005359DC" w:rsidRDefault="005359DC" w:rsidP="005359DC">
      <w:pPr>
        <w:pStyle w:val="Default"/>
        <w:rPr>
          <w:rFonts w:asciiTheme="minorHAnsi" w:eastAsia="Times New Roman" w:hAnsiTheme="minorHAnsi" w:cstheme="minorBidi"/>
          <w:b/>
          <w:bCs/>
          <w:color w:val="auto"/>
          <w:spacing w:val="8"/>
        </w:rPr>
      </w:pPr>
      <w:r>
        <w:rPr>
          <w:rFonts w:asciiTheme="minorHAnsi" w:eastAsia="Times New Roman" w:hAnsiTheme="minorHAnsi" w:cstheme="minorBidi"/>
          <w:b/>
          <w:bCs/>
          <w:color w:val="auto"/>
          <w:spacing w:val="8"/>
        </w:rPr>
        <w:t xml:space="preserve">This is a sample workpaper that may be used in your engagement or organizational documentation on your ability to rely upon the output from MindBridge. </w:t>
      </w:r>
    </w:p>
    <w:p w14:paraId="13C1A63E" w14:textId="77777777" w:rsidR="005359DC" w:rsidRDefault="005359DC" w:rsidP="005359DC">
      <w:pPr>
        <w:pStyle w:val="Default"/>
        <w:rPr>
          <w:rFonts w:asciiTheme="minorHAnsi" w:eastAsia="Times New Roman" w:hAnsiTheme="minorHAnsi" w:cstheme="minorBidi"/>
          <w:b/>
          <w:bCs/>
          <w:color w:val="auto"/>
          <w:spacing w:val="8"/>
        </w:rPr>
      </w:pPr>
    </w:p>
    <w:p w14:paraId="0713554B" w14:textId="77777777" w:rsidR="005359DC" w:rsidRPr="00675E34" w:rsidRDefault="005359DC" w:rsidP="005359DC">
      <w:pPr>
        <w:spacing w:line="240" w:lineRule="auto"/>
        <w:rPr>
          <w:rFonts w:ascii="Times New Roman" w:eastAsia="Times New Roman" w:hAnsi="Times New Roman" w:cs="Times New Roman"/>
          <w:sz w:val="24"/>
          <w:szCs w:val="24"/>
        </w:rPr>
      </w:pPr>
      <w:r w:rsidRPr="00675E34">
        <w:rPr>
          <w:rFonts w:ascii="Open Sans" w:eastAsia="Times New Roman" w:hAnsi="Open Sans" w:cs="Open Sans"/>
          <w:i/>
          <w:iCs/>
          <w:color w:val="000000"/>
          <w:sz w:val="18"/>
          <w:szCs w:val="18"/>
        </w:rPr>
        <w:t>Disclaimer: </w:t>
      </w:r>
    </w:p>
    <w:p w14:paraId="0BBBDDA4" w14:textId="77777777" w:rsidR="005359DC" w:rsidRPr="00675E34" w:rsidRDefault="005359DC" w:rsidP="005359DC">
      <w:pPr>
        <w:spacing w:line="240" w:lineRule="auto"/>
        <w:rPr>
          <w:rFonts w:ascii="Times New Roman" w:eastAsia="Times New Roman" w:hAnsi="Times New Roman" w:cs="Times New Roman"/>
          <w:sz w:val="24"/>
          <w:szCs w:val="24"/>
        </w:rPr>
      </w:pPr>
      <w:r w:rsidRPr="783A2AEA">
        <w:rPr>
          <w:rFonts w:ascii="Open Sans" w:eastAsia="Times New Roman" w:hAnsi="Open Sans" w:cs="Open Sans"/>
          <w:i/>
          <w:iCs/>
          <w:color w:val="000000" w:themeColor="text1"/>
          <w:sz w:val="18"/>
          <w:szCs w:val="18"/>
        </w:rPr>
        <w:t>This document and the materials therein are for illustrative and informational purposes only. MindBridge’s algorithms have been validated by UCLC; however, supplemental use case documentation herein has not been peer reviewed as a methodology under the various auditing or similar standard setting bodies and are purely illustrative in nature. By using any part of this document, you acknowledge the components are provided as-is, fit for your purposes, and that MindBridge shall not have any liability of any kind relating to this material.</w:t>
      </w:r>
    </w:p>
    <w:p w14:paraId="41328351" w14:textId="77777777" w:rsidR="005359DC" w:rsidRPr="00675E34" w:rsidRDefault="005359DC" w:rsidP="005359DC">
      <w:pPr>
        <w:pBdr>
          <w:bottom w:val="single" w:sz="12" w:space="1" w:color="auto"/>
        </w:pBdr>
        <w:spacing w:line="240" w:lineRule="auto"/>
        <w:rPr>
          <w:rFonts w:ascii="Times New Roman" w:eastAsia="Times New Roman" w:hAnsi="Times New Roman" w:cs="Times New Roman"/>
          <w:sz w:val="24"/>
          <w:szCs w:val="24"/>
        </w:rPr>
      </w:pPr>
      <w:r w:rsidRPr="00675E34">
        <w:rPr>
          <w:rFonts w:ascii="Open Sans" w:eastAsia="Times New Roman" w:hAnsi="Open Sans" w:cs="Open Sans"/>
          <w:i/>
          <w:iCs/>
          <w:color w:val="000000"/>
          <w:sz w:val="18"/>
          <w:szCs w:val="18"/>
        </w:rPr>
        <w:t>These materials are confidential not to be distributed to those MindBridge competitors within the artificial intelligence auditing space and intended solely for use by those clients of MindBridge and/or individuals who have been explicitly shared the materials.</w:t>
      </w:r>
    </w:p>
    <w:p w14:paraId="49E490BE" w14:textId="77777777" w:rsidR="005359DC" w:rsidRDefault="005359DC" w:rsidP="005359DC">
      <w:pPr>
        <w:pStyle w:val="Default"/>
        <w:rPr>
          <w:rFonts w:asciiTheme="minorHAnsi" w:eastAsia="Times New Roman" w:hAnsiTheme="minorHAnsi" w:cstheme="minorBidi"/>
          <w:b/>
          <w:bCs/>
          <w:color w:val="auto"/>
          <w:spacing w:val="8"/>
        </w:rPr>
      </w:pPr>
    </w:p>
    <w:p w14:paraId="6091AC74" w14:textId="77777777" w:rsidR="005359DC" w:rsidRDefault="005359DC" w:rsidP="005359DC">
      <w:pPr>
        <w:pStyle w:val="Default"/>
        <w:rPr>
          <w:rFonts w:asciiTheme="minorHAnsi" w:eastAsia="Times New Roman" w:hAnsiTheme="minorHAnsi" w:cstheme="minorBidi"/>
          <w:b/>
          <w:bCs/>
          <w:color w:val="auto"/>
          <w:spacing w:val="8"/>
        </w:rPr>
      </w:pPr>
    </w:p>
    <w:p w14:paraId="4F91B967" w14:textId="77777777" w:rsidR="005359DC" w:rsidRPr="006C6AC1" w:rsidRDefault="005359DC" w:rsidP="005359DC">
      <w:pPr>
        <w:pStyle w:val="Default"/>
        <w:jc w:val="center"/>
        <w:rPr>
          <w:rFonts w:asciiTheme="minorHAnsi" w:eastAsia="Times New Roman" w:hAnsiTheme="minorHAnsi" w:cstheme="minorBidi"/>
          <w:b/>
          <w:bCs/>
          <w:color w:val="auto"/>
          <w:spacing w:val="8"/>
        </w:rPr>
      </w:pPr>
      <w:r w:rsidRPr="3610F4F2">
        <w:rPr>
          <w:rFonts w:asciiTheme="minorHAnsi" w:eastAsia="Times New Roman" w:hAnsiTheme="minorHAnsi" w:cstheme="minorBidi"/>
          <w:b/>
          <w:bCs/>
          <w:color w:val="auto"/>
          <w:spacing w:val="8"/>
        </w:rPr>
        <w:t>Memorandum</w:t>
      </w:r>
    </w:p>
    <w:p w14:paraId="24828766" w14:textId="77777777" w:rsidR="005359DC" w:rsidRPr="006C6AC1" w:rsidRDefault="005359DC" w:rsidP="005359DC">
      <w:pPr>
        <w:pStyle w:val="Default"/>
        <w:jc w:val="center"/>
        <w:rPr>
          <w:rFonts w:asciiTheme="minorHAnsi" w:eastAsia="Times New Roman" w:hAnsiTheme="minorHAnsi" w:cstheme="minorHAnsi"/>
          <w:b/>
          <w:bCs/>
          <w:color w:val="auto"/>
          <w:spacing w:val="8"/>
        </w:rPr>
      </w:pPr>
    </w:p>
    <w:p w14:paraId="3E912BDF" w14:textId="77777777" w:rsidR="005359DC" w:rsidRPr="006C6AC1" w:rsidRDefault="005359DC" w:rsidP="005359DC">
      <w:pPr>
        <w:pStyle w:val="Default"/>
        <w:rPr>
          <w:rFonts w:asciiTheme="minorHAnsi" w:eastAsia="Times New Roman" w:hAnsiTheme="minorHAnsi" w:cstheme="minorHAnsi"/>
          <w:color w:val="auto"/>
          <w:spacing w:val="8"/>
        </w:rPr>
      </w:pPr>
      <w:r w:rsidRPr="006C6AC1">
        <w:rPr>
          <w:rFonts w:asciiTheme="minorHAnsi" w:eastAsia="Times New Roman" w:hAnsiTheme="minorHAnsi" w:cstheme="minorHAnsi"/>
          <w:color w:val="auto"/>
          <w:spacing w:val="8"/>
        </w:rPr>
        <w:t xml:space="preserve">To: </w:t>
      </w:r>
      <w:r w:rsidRPr="006C6AC1">
        <w:rPr>
          <w:rFonts w:asciiTheme="minorHAnsi" w:eastAsia="Times New Roman" w:hAnsiTheme="minorHAnsi" w:cstheme="minorHAnsi"/>
          <w:color w:val="auto"/>
          <w:spacing w:val="8"/>
        </w:rPr>
        <w:tab/>
      </w:r>
      <w:r w:rsidRPr="006C6AC1">
        <w:rPr>
          <w:rFonts w:asciiTheme="minorHAnsi" w:eastAsia="Times New Roman" w:hAnsiTheme="minorHAnsi" w:cstheme="minorHAnsi"/>
          <w:color w:val="auto"/>
          <w:spacing w:val="8"/>
        </w:rPr>
        <w:tab/>
        <w:t xml:space="preserve">Engagement Workpapers </w:t>
      </w:r>
    </w:p>
    <w:p w14:paraId="624CDF5A" w14:textId="77777777" w:rsidR="005359DC" w:rsidRPr="006C6AC1" w:rsidRDefault="005359DC" w:rsidP="005359DC">
      <w:pPr>
        <w:pStyle w:val="Default"/>
        <w:rPr>
          <w:rFonts w:asciiTheme="minorHAnsi" w:eastAsia="Times New Roman" w:hAnsiTheme="minorHAnsi" w:cstheme="minorHAnsi"/>
          <w:color w:val="auto"/>
          <w:spacing w:val="8"/>
        </w:rPr>
      </w:pPr>
      <w:r w:rsidRPr="006C6AC1">
        <w:rPr>
          <w:rFonts w:asciiTheme="minorHAnsi" w:eastAsia="Times New Roman" w:hAnsiTheme="minorHAnsi" w:cstheme="minorHAnsi"/>
          <w:color w:val="auto"/>
          <w:spacing w:val="8"/>
        </w:rPr>
        <w:t xml:space="preserve">From: </w:t>
      </w:r>
      <w:r w:rsidRPr="006C6AC1">
        <w:rPr>
          <w:rFonts w:asciiTheme="minorHAnsi" w:eastAsia="Times New Roman" w:hAnsiTheme="minorHAnsi" w:cstheme="minorHAnsi"/>
          <w:color w:val="auto"/>
          <w:spacing w:val="8"/>
        </w:rPr>
        <w:tab/>
      </w:r>
      <w:r w:rsidRPr="006C6AC1">
        <w:rPr>
          <w:rFonts w:asciiTheme="minorHAnsi" w:eastAsia="Times New Roman" w:hAnsiTheme="minorHAnsi" w:cstheme="minorHAnsi"/>
          <w:color w:val="auto"/>
          <w:spacing w:val="8"/>
        </w:rPr>
        <w:tab/>
        <w:t>[Insert auditor name]</w:t>
      </w:r>
    </w:p>
    <w:p w14:paraId="3A217BA1" w14:textId="77777777" w:rsidR="005359DC" w:rsidRPr="006C6AC1" w:rsidRDefault="005359DC" w:rsidP="005359DC">
      <w:pPr>
        <w:pStyle w:val="Default"/>
        <w:rPr>
          <w:rFonts w:asciiTheme="minorHAnsi" w:eastAsia="Times New Roman" w:hAnsiTheme="minorHAnsi" w:cstheme="minorHAnsi"/>
          <w:color w:val="auto"/>
          <w:spacing w:val="8"/>
        </w:rPr>
      </w:pPr>
      <w:r w:rsidRPr="006C6AC1">
        <w:rPr>
          <w:rFonts w:asciiTheme="minorHAnsi" w:eastAsia="Times New Roman" w:hAnsiTheme="minorHAnsi" w:cstheme="minorHAnsi"/>
          <w:color w:val="auto"/>
          <w:spacing w:val="8"/>
        </w:rPr>
        <w:t>Date:</w:t>
      </w:r>
      <w:r w:rsidRPr="006C6AC1">
        <w:rPr>
          <w:rFonts w:asciiTheme="minorHAnsi" w:eastAsia="Times New Roman" w:hAnsiTheme="minorHAnsi" w:cstheme="minorHAnsi"/>
          <w:color w:val="auto"/>
          <w:spacing w:val="8"/>
        </w:rPr>
        <w:tab/>
      </w:r>
      <w:r w:rsidRPr="006C6AC1">
        <w:rPr>
          <w:rFonts w:asciiTheme="minorHAnsi" w:eastAsia="Times New Roman" w:hAnsiTheme="minorHAnsi" w:cstheme="minorHAnsi"/>
          <w:color w:val="auto"/>
          <w:spacing w:val="8"/>
        </w:rPr>
        <w:tab/>
      </w:r>
    </w:p>
    <w:p w14:paraId="31909399" w14:textId="77777777" w:rsidR="005359DC" w:rsidRPr="006C6AC1" w:rsidRDefault="005359DC" w:rsidP="005359DC">
      <w:pPr>
        <w:pStyle w:val="Default"/>
        <w:pBdr>
          <w:bottom w:val="single" w:sz="12" w:space="1" w:color="auto"/>
        </w:pBdr>
        <w:rPr>
          <w:rFonts w:asciiTheme="minorHAnsi" w:eastAsia="Times New Roman" w:hAnsiTheme="minorHAnsi" w:cstheme="minorBidi"/>
          <w:color w:val="auto"/>
          <w:spacing w:val="8"/>
        </w:rPr>
      </w:pPr>
      <w:r w:rsidRPr="19E73B3E">
        <w:rPr>
          <w:rFonts w:asciiTheme="minorHAnsi" w:eastAsia="Times New Roman" w:hAnsiTheme="minorHAnsi" w:cstheme="minorBidi"/>
          <w:color w:val="auto"/>
          <w:spacing w:val="8"/>
        </w:rPr>
        <w:t xml:space="preserve">Re: </w:t>
      </w:r>
      <w:r w:rsidRPr="006C6AC1">
        <w:rPr>
          <w:rFonts w:asciiTheme="minorHAnsi" w:eastAsia="Times New Roman" w:hAnsiTheme="minorHAnsi" w:cstheme="minorHAnsi"/>
          <w:color w:val="auto"/>
          <w:spacing w:val="8"/>
        </w:rPr>
        <w:tab/>
      </w:r>
      <w:r w:rsidRPr="006C6AC1">
        <w:rPr>
          <w:rFonts w:asciiTheme="minorHAnsi" w:eastAsia="Times New Roman" w:hAnsiTheme="minorHAnsi" w:cstheme="minorHAnsi"/>
          <w:color w:val="auto"/>
          <w:spacing w:val="8"/>
        </w:rPr>
        <w:tab/>
      </w:r>
      <w:r w:rsidRPr="19E73B3E">
        <w:rPr>
          <w:rFonts w:asciiTheme="minorHAnsi" w:eastAsia="Times New Roman" w:hAnsiTheme="minorHAnsi" w:cstheme="minorBidi"/>
          <w:color w:val="auto"/>
          <w:spacing w:val="8"/>
        </w:rPr>
        <w:t xml:space="preserve">Ability to rely upon MindBridge </w:t>
      </w:r>
    </w:p>
    <w:p w14:paraId="127B32B2" w14:textId="77777777" w:rsidR="005359DC" w:rsidRPr="006C6AC1" w:rsidRDefault="005359DC" w:rsidP="005359DC">
      <w:pPr>
        <w:pStyle w:val="Default"/>
        <w:rPr>
          <w:rFonts w:asciiTheme="minorHAnsi" w:eastAsia="Times New Roman" w:hAnsiTheme="minorHAnsi" w:cstheme="minorBidi"/>
          <w:color w:val="2D3B49"/>
          <w:spacing w:val="8"/>
        </w:rPr>
      </w:pPr>
    </w:p>
    <w:p w14:paraId="1B548F8A" w14:textId="77777777" w:rsidR="005359DC" w:rsidRPr="00222706" w:rsidRDefault="005359DC" w:rsidP="005359DC">
      <w:pPr>
        <w:pStyle w:val="Default"/>
        <w:rPr>
          <w:rFonts w:asciiTheme="minorHAnsi" w:hAnsiTheme="minorHAnsi" w:cstheme="minorHAnsi"/>
        </w:rPr>
      </w:pPr>
      <w:r w:rsidRPr="00222706">
        <w:rPr>
          <w:rFonts w:asciiTheme="minorHAnsi" w:hAnsiTheme="minorHAnsi" w:cstheme="minorHAnsi"/>
          <w:color w:val="4A4A4A"/>
          <w:shd w:val="clear" w:color="auto" w:fill="FFFFFF"/>
        </w:rPr>
        <w:t>Under the International</w:t>
      </w:r>
      <w:r w:rsidRPr="00222706">
        <w:rPr>
          <w:rFonts w:asciiTheme="minorHAnsi" w:eastAsia="Times New Roman" w:hAnsiTheme="minorHAnsi" w:cstheme="minorHAnsi"/>
          <w:color w:val="2D3B49"/>
          <w:spacing w:val="8"/>
        </w:rPr>
        <w:t xml:space="preserve"> Ethics Standards Board for Accountants</w:t>
      </w:r>
      <w:r w:rsidRPr="00222706">
        <w:rPr>
          <w:rFonts w:asciiTheme="minorHAnsi" w:hAnsiTheme="minorHAnsi" w:cstheme="minorHAnsi"/>
          <w:color w:val="4A4A4A"/>
          <w:shd w:val="clear" w:color="auto" w:fill="FFFFFF"/>
        </w:rPr>
        <w:t xml:space="preserve"> (IESBA) </w:t>
      </w:r>
      <w:hyperlink r:id="rId10" w:history="1">
        <w:r w:rsidRPr="00222706">
          <w:rPr>
            <w:rStyle w:val="Emphasis"/>
            <w:rFonts w:asciiTheme="minorHAnsi" w:hAnsiTheme="minorHAnsi" w:cstheme="minorHAnsi"/>
            <w:color w:val="1C51A6"/>
            <w:shd w:val="clear" w:color="auto" w:fill="FFFFFF"/>
          </w:rPr>
          <w:t>International Code of Ethics for Professional Accountants (including International Independence Standards)</w:t>
        </w:r>
      </w:hyperlink>
      <w:r w:rsidRPr="00222706">
        <w:rPr>
          <w:rFonts w:asciiTheme="minorHAnsi" w:hAnsiTheme="minorHAnsi" w:cstheme="minorHAnsi"/>
        </w:rPr>
        <w:t xml:space="preserve">, </w:t>
      </w:r>
      <w:r w:rsidRPr="00222706">
        <w:rPr>
          <w:rFonts w:asciiTheme="minorHAnsi" w:hAnsiTheme="minorHAnsi" w:cstheme="minorHAnsi"/>
          <w:color w:val="auto"/>
        </w:rPr>
        <w:t>professional accountants who plan to rely on the work of ot</w:t>
      </w:r>
      <w:r w:rsidRPr="00222706">
        <w:rPr>
          <w:rFonts w:asciiTheme="minorHAnsi" w:hAnsiTheme="minorHAnsi" w:cstheme="minorHAnsi"/>
        </w:rPr>
        <w:t>hers, whether internal or external to the employing organization, or other organizations, are required to determine whether reliance on those others</w:t>
      </w:r>
      <w:r>
        <w:rPr>
          <w:rFonts w:asciiTheme="minorHAnsi" w:hAnsiTheme="minorHAnsi" w:cstheme="minorHAnsi"/>
        </w:rPr>
        <w:t xml:space="preserve"> (including technology)</w:t>
      </w:r>
      <w:r w:rsidRPr="00222706">
        <w:rPr>
          <w:rFonts w:asciiTheme="minorHAnsi" w:hAnsiTheme="minorHAnsi" w:cstheme="minorHAnsi"/>
        </w:rPr>
        <w:t xml:space="preserve"> is reasonable.</w:t>
      </w:r>
    </w:p>
    <w:p w14:paraId="16134F71" w14:textId="77777777" w:rsidR="005359DC" w:rsidRPr="00222706" w:rsidRDefault="005359DC" w:rsidP="005359DC">
      <w:pPr>
        <w:pStyle w:val="Default"/>
        <w:rPr>
          <w:rFonts w:asciiTheme="minorHAnsi" w:hAnsiTheme="minorHAnsi" w:cstheme="minorHAnsi"/>
          <w:color w:val="4A4A4A"/>
          <w:shd w:val="clear" w:color="auto" w:fill="FFFFFF"/>
        </w:rPr>
      </w:pPr>
    </w:p>
    <w:p w14:paraId="7DDB5F44" w14:textId="77777777" w:rsidR="005359DC" w:rsidRPr="006E43FD" w:rsidRDefault="005359DC" w:rsidP="005359DC">
      <w:pPr>
        <w:pStyle w:val="Default"/>
        <w:rPr>
          <w:rFonts w:asciiTheme="minorHAnsi" w:hAnsiTheme="minorHAnsi" w:cstheme="minorBidi"/>
          <w:color w:val="auto"/>
        </w:rPr>
      </w:pPr>
      <w:r w:rsidRPr="3610F4F2">
        <w:rPr>
          <w:rFonts w:asciiTheme="minorHAnsi" w:hAnsiTheme="minorHAnsi" w:cstheme="minorBidi"/>
          <w:color w:val="auto"/>
          <w:shd w:val="clear" w:color="auto" w:fill="FFFFFF"/>
        </w:rPr>
        <w:t xml:space="preserve">On February 18, 2021, IESBA </w:t>
      </w:r>
      <w:hyperlink r:id="rId11" w:history="1">
        <w:r w:rsidRPr="3610F4F2">
          <w:rPr>
            <w:rStyle w:val="Hyperlink"/>
            <w:rFonts w:asciiTheme="minorHAnsi" w:hAnsiTheme="minorHAnsi" w:cstheme="minorBidi"/>
            <w:shd w:val="clear" w:color="auto" w:fill="FFFFFF"/>
          </w:rPr>
          <w:t>exposed technology-related revisions to the Code</w:t>
        </w:r>
      </w:hyperlink>
      <w:r w:rsidRPr="3610F4F2">
        <w:rPr>
          <w:rFonts w:asciiTheme="minorHAnsi" w:hAnsiTheme="minorHAnsi" w:cstheme="minorBidi"/>
          <w:color w:val="auto"/>
          <w:shd w:val="clear" w:color="auto" w:fill="FFFFFF"/>
        </w:rPr>
        <w:t>. In expanding the existing guidance on using the work of others, the revisions also require professional accountants to determine whether it is reasonable to rely on technology, whether developed internally or provided by third parties. The revisions cite f</w:t>
      </w:r>
      <w:r w:rsidRPr="3610F4F2">
        <w:rPr>
          <w:rFonts w:asciiTheme="minorHAnsi" w:hAnsiTheme="minorHAnsi" w:cstheme="minorBidi"/>
          <w:color w:val="auto"/>
        </w:rPr>
        <w:t xml:space="preserve">actors that are relevant when identifying compliance threats when relying on the output of technology that include: </w:t>
      </w:r>
    </w:p>
    <w:p w14:paraId="63E29CE7" w14:textId="77777777" w:rsidR="005359DC" w:rsidRPr="006E43FD" w:rsidRDefault="005359DC" w:rsidP="005359DC">
      <w:pPr>
        <w:pStyle w:val="Default"/>
        <w:rPr>
          <w:rFonts w:asciiTheme="minorHAnsi" w:hAnsiTheme="minorHAnsi" w:cstheme="minorHAnsi"/>
          <w:color w:val="auto"/>
        </w:rPr>
      </w:pPr>
    </w:p>
    <w:p w14:paraId="07AA24A9" w14:textId="77777777" w:rsidR="005359DC" w:rsidRPr="006E43FD" w:rsidRDefault="005359DC" w:rsidP="005359DC">
      <w:pPr>
        <w:pStyle w:val="ListParagraph"/>
        <w:numPr>
          <w:ilvl w:val="0"/>
          <w:numId w:val="1"/>
        </w:numPr>
        <w:autoSpaceDE w:val="0"/>
        <w:autoSpaceDN w:val="0"/>
        <w:adjustRightInd w:val="0"/>
        <w:spacing w:after="94" w:line="240" w:lineRule="auto"/>
        <w:rPr>
          <w:sz w:val="24"/>
          <w:szCs w:val="24"/>
        </w:rPr>
      </w:pPr>
      <w:r w:rsidRPr="3610F4F2">
        <w:rPr>
          <w:sz w:val="24"/>
          <w:szCs w:val="24"/>
        </w:rPr>
        <w:t xml:space="preserve">Whether information about how the technology functions is available to the accountant </w:t>
      </w:r>
    </w:p>
    <w:p w14:paraId="254D1999" w14:textId="77777777" w:rsidR="005359DC" w:rsidRPr="006E43FD" w:rsidRDefault="005359DC" w:rsidP="005359DC">
      <w:pPr>
        <w:pStyle w:val="ListParagraph"/>
        <w:numPr>
          <w:ilvl w:val="0"/>
          <w:numId w:val="1"/>
        </w:numPr>
        <w:autoSpaceDE w:val="0"/>
        <w:autoSpaceDN w:val="0"/>
        <w:adjustRightInd w:val="0"/>
        <w:spacing w:after="0" w:line="240" w:lineRule="auto"/>
        <w:rPr>
          <w:sz w:val="24"/>
          <w:szCs w:val="24"/>
        </w:rPr>
      </w:pPr>
      <w:r w:rsidRPr="3610F4F2">
        <w:rPr>
          <w:sz w:val="24"/>
          <w:szCs w:val="24"/>
        </w:rPr>
        <w:t>Whether the technology is appropriate for the purpose for which it is to be used</w:t>
      </w:r>
    </w:p>
    <w:p w14:paraId="19DBD0E2" w14:textId="77777777" w:rsidR="005359DC" w:rsidRPr="00222706" w:rsidRDefault="005359DC" w:rsidP="005359DC">
      <w:pPr>
        <w:pStyle w:val="ListParagraph"/>
        <w:numPr>
          <w:ilvl w:val="0"/>
          <w:numId w:val="1"/>
        </w:numPr>
        <w:autoSpaceDE w:val="0"/>
        <w:autoSpaceDN w:val="0"/>
        <w:adjustRightInd w:val="0"/>
        <w:spacing w:after="96" w:line="240" w:lineRule="auto"/>
        <w:rPr>
          <w:color w:val="000000"/>
          <w:sz w:val="24"/>
          <w:szCs w:val="24"/>
        </w:rPr>
      </w:pPr>
      <w:r w:rsidRPr="3610F4F2">
        <w:rPr>
          <w:sz w:val="24"/>
          <w:szCs w:val="24"/>
        </w:rPr>
        <w:t xml:space="preserve">Whether the accountant has the professional competence to understand, use and explain the </w:t>
      </w:r>
      <w:r w:rsidRPr="3610F4F2">
        <w:rPr>
          <w:color w:val="000000" w:themeColor="text1"/>
          <w:sz w:val="24"/>
          <w:szCs w:val="24"/>
        </w:rPr>
        <w:t xml:space="preserve">output from the technology. </w:t>
      </w:r>
    </w:p>
    <w:p w14:paraId="20E940D3" w14:textId="77777777" w:rsidR="005359DC" w:rsidRDefault="005359DC" w:rsidP="005359DC">
      <w:pPr>
        <w:pStyle w:val="ListParagraph"/>
        <w:numPr>
          <w:ilvl w:val="0"/>
          <w:numId w:val="1"/>
        </w:numPr>
        <w:autoSpaceDE w:val="0"/>
        <w:autoSpaceDN w:val="0"/>
        <w:adjustRightInd w:val="0"/>
        <w:spacing w:after="0" w:line="240" w:lineRule="auto"/>
        <w:rPr>
          <w:color w:val="000000"/>
          <w:sz w:val="24"/>
          <w:szCs w:val="24"/>
        </w:rPr>
      </w:pPr>
      <w:r w:rsidRPr="19E73B3E">
        <w:rPr>
          <w:color w:val="000000" w:themeColor="text1"/>
          <w:sz w:val="24"/>
          <w:szCs w:val="24"/>
        </w:rPr>
        <w:t xml:space="preserve">Whether the technology incorporates expertise or judgments of the firm  </w:t>
      </w:r>
    </w:p>
    <w:p w14:paraId="2F68A683" w14:textId="77777777" w:rsidR="005359DC" w:rsidRDefault="005359DC" w:rsidP="005359DC">
      <w:pPr>
        <w:pStyle w:val="ListParagraph"/>
        <w:numPr>
          <w:ilvl w:val="0"/>
          <w:numId w:val="1"/>
        </w:numPr>
        <w:autoSpaceDE w:val="0"/>
        <w:autoSpaceDN w:val="0"/>
        <w:adjustRightInd w:val="0"/>
        <w:spacing w:after="0" w:line="240" w:lineRule="auto"/>
        <w:rPr>
          <w:color w:val="000000"/>
          <w:sz w:val="24"/>
          <w:szCs w:val="24"/>
        </w:rPr>
      </w:pPr>
      <w:r w:rsidRPr="3610F4F2">
        <w:rPr>
          <w:color w:val="000000" w:themeColor="text1"/>
          <w:sz w:val="24"/>
          <w:szCs w:val="24"/>
        </w:rPr>
        <w:t xml:space="preserve">Whether the technology was designed or developed by the accountant or employing organization and therefore might create a self-interest or self-review threat </w:t>
      </w:r>
    </w:p>
    <w:p w14:paraId="5CC8AA7B" w14:textId="77777777" w:rsidR="005359DC" w:rsidRPr="007964F7" w:rsidRDefault="005359DC" w:rsidP="005359DC">
      <w:pPr>
        <w:autoSpaceDE w:val="0"/>
        <w:autoSpaceDN w:val="0"/>
        <w:adjustRightInd w:val="0"/>
        <w:spacing w:after="0" w:line="240" w:lineRule="auto"/>
        <w:rPr>
          <w:color w:val="000000"/>
          <w:sz w:val="24"/>
          <w:szCs w:val="24"/>
        </w:rPr>
      </w:pPr>
      <w:r w:rsidRPr="3610F4F2">
        <w:rPr>
          <w:color w:val="000000"/>
          <w:sz w:val="24"/>
          <w:szCs w:val="24"/>
        </w:rPr>
        <w:t>(Source:  ¶300.6 A2</w:t>
      </w:r>
      <w:r>
        <w:rPr>
          <w:rStyle w:val="FootnoteReference"/>
          <w:rFonts w:cstheme="minorHAnsi"/>
          <w:color w:val="000000"/>
          <w:sz w:val="24"/>
          <w:szCs w:val="24"/>
        </w:rPr>
        <w:footnoteReference w:id="1"/>
      </w:r>
      <w:r w:rsidRPr="3610F4F2">
        <w:rPr>
          <w:color w:val="000000"/>
          <w:sz w:val="24"/>
          <w:szCs w:val="24"/>
        </w:rPr>
        <w:t xml:space="preserve">) </w:t>
      </w:r>
    </w:p>
    <w:p w14:paraId="1941280C" w14:textId="77777777" w:rsidR="005359DC" w:rsidRPr="00222706" w:rsidRDefault="005359DC" w:rsidP="005359DC">
      <w:pPr>
        <w:autoSpaceDE w:val="0"/>
        <w:autoSpaceDN w:val="0"/>
        <w:adjustRightInd w:val="0"/>
        <w:spacing w:after="0" w:line="240" w:lineRule="auto"/>
        <w:rPr>
          <w:color w:val="000000"/>
          <w:sz w:val="24"/>
          <w:szCs w:val="24"/>
        </w:rPr>
      </w:pPr>
    </w:p>
    <w:p w14:paraId="73AA1565" w14:textId="77777777" w:rsidR="005359DC" w:rsidRDefault="005359DC" w:rsidP="005359DC">
      <w:pPr>
        <w:pStyle w:val="Default"/>
        <w:rPr>
          <w:rFonts w:asciiTheme="minorHAnsi" w:eastAsia="Times New Roman" w:hAnsiTheme="minorHAnsi" w:cstheme="minorBidi"/>
          <w:color w:val="auto"/>
          <w:spacing w:val="8"/>
        </w:rPr>
      </w:pPr>
      <w:r w:rsidRPr="3610F4F2">
        <w:rPr>
          <w:rFonts w:asciiTheme="minorHAnsi" w:eastAsia="Times New Roman" w:hAnsiTheme="minorHAnsi" w:cstheme="minorBidi"/>
          <w:i/>
          <w:iCs/>
          <w:color w:val="auto"/>
          <w:spacing w:val="8"/>
        </w:rPr>
        <w:t>For Public Accounting Firms Only:</w:t>
      </w:r>
      <w:r w:rsidRPr="3610F4F2">
        <w:rPr>
          <w:rFonts w:asciiTheme="minorHAnsi" w:eastAsia="Times New Roman" w:hAnsiTheme="minorHAnsi" w:cstheme="minorBidi"/>
          <w:color w:val="auto"/>
          <w:spacing w:val="8"/>
        </w:rPr>
        <w:t xml:space="preserve"> These requirements are in addition to the requirements outlined in International Standard on Quality Management 1 (ISQM 1) that require an assessment of service providers (</w:t>
      </w:r>
      <w:r w:rsidRPr="3610F4F2">
        <w:rPr>
          <w:rFonts w:asciiTheme="minorHAnsi" w:hAnsiTheme="minorHAnsi" w:cstheme="minorBidi"/>
        </w:rPr>
        <w:t>¶</w:t>
      </w:r>
      <w:r w:rsidRPr="3610F4F2">
        <w:rPr>
          <w:rFonts w:asciiTheme="minorHAnsi" w:eastAsia="Times New Roman" w:hAnsiTheme="minorHAnsi" w:cstheme="minorBidi"/>
          <w:color w:val="auto"/>
          <w:spacing w:val="8"/>
        </w:rPr>
        <w:t xml:space="preserve">32(h)) that is also outlined at the end of this memo. </w:t>
      </w:r>
    </w:p>
    <w:p w14:paraId="5F03B701" w14:textId="77777777" w:rsidR="005359DC" w:rsidRPr="006C6AC1" w:rsidRDefault="005359DC" w:rsidP="005359DC">
      <w:pPr>
        <w:pStyle w:val="Default"/>
        <w:rPr>
          <w:rFonts w:asciiTheme="minorHAnsi" w:hAnsiTheme="minorHAnsi" w:cstheme="minorHAnsi"/>
          <w:color w:val="auto"/>
        </w:rPr>
      </w:pPr>
    </w:p>
    <w:p w14:paraId="2C90902F" w14:textId="77777777" w:rsidR="005359DC" w:rsidRPr="006C6AC1" w:rsidRDefault="005359DC" w:rsidP="005359DC">
      <w:pPr>
        <w:pStyle w:val="Default"/>
        <w:rPr>
          <w:rFonts w:cstheme="minorBidi"/>
          <w:color w:val="auto"/>
        </w:rPr>
      </w:pPr>
      <w:r w:rsidRPr="783A2AEA">
        <w:rPr>
          <w:rFonts w:asciiTheme="minorHAnsi" w:hAnsiTheme="minorHAnsi" w:cstheme="minorBidi"/>
          <w:color w:val="auto"/>
        </w:rPr>
        <w:t xml:space="preserve">Overall, MindBridge is a risk discovery platform that we have utilized for various audit procedures. </w:t>
      </w:r>
      <w:r w:rsidRPr="783A2AEA">
        <w:rPr>
          <w:rFonts w:asciiTheme="minorHAnsi" w:eastAsia="Times New Roman" w:hAnsiTheme="minorHAnsi" w:cstheme="minorBidi"/>
          <w:color w:val="auto"/>
          <w:spacing w:val="8"/>
        </w:rPr>
        <w:t xml:space="preserve">MindBridge has received independent third-party validation of the reliability of its tools from numerous sources. </w:t>
      </w:r>
    </w:p>
    <w:p w14:paraId="40F8275A" w14:textId="77777777" w:rsidR="005359DC" w:rsidRPr="00222706" w:rsidRDefault="005359DC" w:rsidP="005359DC">
      <w:pPr>
        <w:pStyle w:val="ListParagraph"/>
        <w:numPr>
          <w:ilvl w:val="0"/>
          <w:numId w:val="3"/>
        </w:numPr>
        <w:spacing w:after="300" w:line="240" w:lineRule="auto"/>
        <w:rPr>
          <w:color w:val="111111"/>
          <w:sz w:val="24"/>
          <w:szCs w:val="24"/>
        </w:rPr>
      </w:pPr>
      <w:r w:rsidRPr="23498D2A">
        <w:rPr>
          <w:rFonts w:eastAsia="Times New Roman"/>
          <w:color w:val="2D3B49"/>
          <w:spacing w:val="8"/>
          <w:sz w:val="24"/>
          <w:szCs w:val="24"/>
        </w:rPr>
        <w:t xml:space="preserve">It has been certified under a </w:t>
      </w:r>
      <w:hyperlink r:id="rId12" w:history="1">
        <w:r w:rsidRPr="23498D2A">
          <w:rPr>
            <w:rStyle w:val="Hyperlink"/>
            <w:sz w:val="24"/>
            <w:szCs w:val="24"/>
            <w:shd w:val="clear" w:color="auto" w:fill="FFFFFF"/>
          </w:rPr>
          <w:t>System and Organization Controls (SOC) 2® review</w:t>
        </w:r>
      </w:hyperlink>
      <w:r w:rsidRPr="23498D2A">
        <w:rPr>
          <w:color w:val="111111"/>
          <w:sz w:val="24"/>
          <w:szCs w:val="24"/>
          <w:shd w:val="clear" w:color="auto" w:fill="FFFFFF"/>
        </w:rPr>
        <w:t>, an independent, voluntary review that offers service organization users information on the system- or organization-level controls</w:t>
      </w:r>
      <w:r w:rsidRPr="23498D2A">
        <w:rPr>
          <w:rFonts w:eastAsia="Times New Roman"/>
          <w:color w:val="111111"/>
          <w:sz w:val="24"/>
          <w:szCs w:val="24"/>
        </w:rPr>
        <w:t xml:space="preserve">. (See XXX.XX for SOC 2 or SOC 3 Summary Report) </w:t>
      </w:r>
    </w:p>
    <w:p w14:paraId="0B0A7E17" w14:textId="77777777" w:rsidR="005359DC" w:rsidRPr="00CF6B2B" w:rsidRDefault="005359DC" w:rsidP="005359DC">
      <w:pPr>
        <w:pStyle w:val="ListParagraph"/>
        <w:numPr>
          <w:ilvl w:val="0"/>
          <w:numId w:val="2"/>
        </w:numPr>
        <w:shd w:val="clear" w:color="auto" w:fill="FFFFFF" w:themeFill="background1"/>
        <w:spacing w:before="100" w:beforeAutospacing="1" w:after="100" w:afterAutospacing="1" w:line="240" w:lineRule="auto"/>
        <w:rPr>
          <w:rStyle w:val="Hyperlink"/>
          <w:color w:val="auto"/>
          <w:sz w:val="24"/>
          <w:szCs w:val="24"/>
          <w:u w:val="none"/>
        </w:rPr>
      </w:pPr>
      <w:r w:rsidRPr="3610F4F2">
        <w:rPr>
          <w:rFonts w:eastAsia="Times New Roman"/>
          <w:spacing w:val="8"/>
          <w:sz w:val="24"/>
          <w:szCs w:val="24"/>
        </w:rPr>
        <w:t xml:space="preserve">It has been certified as meeting </w:t>
      </w:r>
      <w:hyperlink r:id="rId13" w:history="1">
        <w:r w:rsidRPr="3610F4F2">
          <w:rPr>
            <w:rStyle w:val="Hyperlink"/>
            <w:spacing w:val="8"/>
            <w:sz w:val="24"/>
            <w:szCs w:val="24"/>
            <w:shd w:val="clear" w:color="auto" w:fill="FFFFFF"/>
          </w:rPr>
          <w:t>ISO 27001</w:t>
        </w:r>
      </w:hyperlink>
      <w:r w:rsidRPr="3610F4F2">
        <w:rPr>
          <w:rStyle w:val="Hyperlink"/>
          <w:color w:val="auto"/>
          <w:spacing w:val="8"/>
          <w:sz w:val="24"/>
          <w:szCs w:val="24"/>
          <w:u w:val="none"/>
          <w:shd w:val="clear" w:color="auto" w:fill="FFFFFF"/>
        </w:rPr>
        <w:t xml:space="preserve"> standards, a set of information technology and security best practices.  (See XXX.XX for ISO Certificate) </w:t>
      </w:r>
    </w:p>
    <w:p w14:paraId="2C93FC64" w14:textId="0E66A29E" w:rsidR="005359DC" w:rsidRPr="00222706" w:rsidRDefault="005359DC" w:rsidP="005359DC">
      <w:pPr>
        <w:pStyle w:val="ListParagraph"/>
        <w:numPr>
          <w:ilvl w:val="0"/>
          <w:numId w:val="2"/>
        </w:numPr>
        <w:shd w:val="clear" w:color="auto" w:fill="FFFFFF" w:themeFill="background1"/>
        <w:spacing w:before="100" w:beforeAutospacing="1" w:after="100" w:afterAutospacing="1" w:line="240" w:lineRule="auto"/>
        <w:rPr>
          <w:rStyle w:val="Hyperlink"/>
          <w:color w:val="auto"/>
          <w:sz w:val="24"/>
          <w:szCs w:val="24"/>
          <w:u w:val="none"/>
        </w:rPr>
      </w:pPr>
      <w:r w:rsidRPr="3610F4F2">
        <w:rPr>
          <w:spacing w:val="8"/>
          <w:sz w:val="24"/>
          <w:szCs w:val="24"/>
          <w:shd w:val="clear" w:color="auto" w:fill="FFFFFF"/>
        </w:rPr>
        <w:t>Its algorithms have received a comprehensive audit by </w:t>
      </w:r>
      <w:hyperlink r:id="rId14" w:history="1">
        <w:r w:rsidR="00067932" w:rsidRPr="00067932">
          <w:rPr>
            <w:rStyle w:val="Hyperlink"/>
            <w:spacing w:val="8"/>
            <w:sz w:val="24"/>
            <w:szCs w:val="24"/>
            <w:shd w:val="clear" w:color="auto" w:fill="FFFFFF"/>
          </w:rPr>
          <w:t>Holistic AI</w:t>
        </w:r>
      </w:hyperlink>
      <w:r w:rsidR="00067932">
        <w:rPr>
          <w:rStyle w:val="Hyperlink"/>
          <w:color w:val="0D5ECA"/>
          <w:spacing w:val="8"/>
          <w:sz w:val="24"/>
          <w:szCs w:val="24"/>
          <w:u w:val="none"/>
          <w:shd w:val="clear" w:color="auto" w:fill="FFFFFF"/>
        </w:rPr>
        <w:t xml:space="preserve"> </w:t>
      </w:r>
      <w:r w:rsidRPr="00067932">
        <w:rPr>
          <w:spacing w:val="8"/>
          <w:sz w:val="24"/>
          <w:szCs w:val="24"/>
          <w:shd w:val="clear" w:color="auto" w:fill="FFFFFF"/>
        </w:rPr>
        <w:t>a</w:t>
      </w:r>
      <w:r w:rsidRPr="3610F4F2">
        <w:rPr>
          <w:spacing w:val="8"/>
          <w:sz w:val="24"/>
          <w:szCs w:val="24"/>
          <w:shd w:val="clear" w:color="auto" w:fill="FFFFFF"/>
        </w:rPr>
        <w:t xml:space="preserve"> renowned center of excellence for algorithm audit and safety. </w:t>
      </w:r>
      <w:bookmarkStart w:id="0" w:name="_GoBack"/>
      <w:bookmarkEnd w:id="0"/>
    </w:p>
    <w:p w14:paraId="44465F78" w14:textId="77777777" w:rsidR="005359DC" w:rsidRPr="006E05DD" w:rsidRDefault="004857E6" w:rsidP="005359DC">
      <w:pPr>
        <w:pStyle w:val="ListParagraph"/>
        <w:numPr>
          <w:ilvl w:val="0"/>
          <w:numId w:val="2"/>
        </w:numPr>
        <w:shd w:val="clear" w:color="auto" w:fill="FFFFFF" w:themeFill="background1"/>
        <w:spacing w:before="100" w:beforeAutospacing="1" w:after="100" w:afterAutospacing="1" w:line="240" w:lineRule="auto"/>
        <w:rPr>
          <w:rStyle w:val="Hyperlink"/>
          <w:color w:val="auto"/>
          <w:sz w:val="24"/>
          <w:szCs w:val="24"/>
          <w:u w:val="none"/>
        </w:rPr>
      </w:pPr>
      <w:r>
        <w:rPr>
          <w:rStyle w:val="Hyperlink"/>
          <w:color w:val="0D5ECA"/>
          <w:spacing w:val="8"/>
          <w:sz w:val="24"/>
          <w:szCs w:val="24"/>
          <w:shd w:val="clear" w:color="auto" w:fill="FFFFFF"/>
        </w:rPr>
        <w:fldChar w:fldCharType="begin"/>
      </w:r>
      <w:r>
        <w:rPr>
          <w:rStyle w:val="Hyperlink"/>
          <w:color w:val="0D5ECA"/>
          <w:spacing w:val="8"/>
          <w:sz w:val="24"/>
          <w:szCs w:val="24"/>
          <w:shd w:val="clear" w:color="auto" w:fill="FFFFFF"/>
        </w:rPr>
        <w:instrText xml:space="preserve"> HYPERLINK "https://www.mindbridge.ai/products/ai-auditor" </w:instrText>
      </w:r>
      <w:r>
        <w:rPr>
          <w:rStyle w:val="Hyperlink"/>
          <w:color w:val="0D5ECA"/>
          <w:spacing w:val="8"/>
          <w:sz w:val="24"/>
          <w:szCs w:val="24"/>
          <w:shd w:val="clear" w:color="auto" w:fill="FFFFFF"/>
        </w:rPr>
        <w:fldChar w:fldCharType="separate"/>
      </w:r>
      <w:r w:rsidR="005359DC" w:rsidRPr="3610F4F2">
        <w:rPr>
          <w:rStyle w:val="Hyperlink"/>
          <w:color w:val="0D5ECA"/>
          <w:spacing w:val="8"/>
          <w:sz w:val="24"/>
          <w:szCs w:val="24"/>
          <w:shd w:val="clear" w:color="auto" w:fill="FFFFFF"/>
        </w:rPr>
        <w:t xml:space="preserve">MindBridge </w:t>
      </w:r>
      <w:r>
        <w:rPr>
          <w:rStyle w:val="Hyperlink"/>
          <w:color w:val="0D5ECA"/>
          <w:spacing w:val="8"/>
          <w:sz w:val="24"/>
          <w:szCs w:val="24"/>
          <w:shd w:val="clear" w:color="auto" w:fill="FFFFFF"/>
        </w:rPr>
        <w:fldChar w:fldCharType="end"/>
      </w:r>
      <w:r w:rsidR="005359DC" w:rsidRPr="3610F4F2">
        <w:rPr>
          <w:sz w:val="24"/>
          <w:szCs w:val="24"/>
        </w:rPr>
        <w:t xml:space="preserve">has undergone </w:t>
      </w:r>
      <w:r w:rsidR="005359DC" w:rsidRPr="3610F4F2">
        <w:rPr>
          <w:spacing w:val="8"/>
          <w:sz w:val="24"/>
          <w:szCs w:val="24"/>
          <w:shd w:val="clear" w:color="auto" w:fill="FFFFFF"/>
        </w:rPr>
        <w:t xml:space="preserve">the rigorous evaluation methodology of </w:t>
      </w:r>
      <w:r w:rsidR="005359DC" w:rsidRPr="3610F4F2">
        <w:rPr>
          <w:color w:val="2D3B49"/>
          <w:spacing w:val="8"/>
          <w:sz w:val="24"/>
          <w:szCs w:val="24"/>
          <w:shd w:val="clear" w:color="auto" w:fill="FFFFFF"/>
        </w:rPr>
        <w:t>the </w:t>
      </w:r>
      <w:hyperlink r:id="rId15" w:tgtFrame="_blank" w:history="1">
        <w:r w:rsidR="005359DC" w:rsidRPr="3610F4F2">
          <w:rPr>
            <w:rStyle w:val="Hyperlink"/>
            <w:color w:val="0D5ECA"/>
            <w:spacing w:val="8"/>
            <w:sz w:val="24"/>
            <w:szCs w:val="24"/>
            <w:shd w:val="clear" w:color="auto" w:fill="FFFFFF"/>
          </w:rPr>
          <w:t>Institute of Chartered Accountants in England and Wales Technology Accreditation Scheme</w:t>
        </w:r>
      </w:hyperlink>
      <w:r w:rsidR="005359DC" w:rsidRPr="3610F4F2">
        <w:rPr>
          <w:rStyle w:val="Hyperlink"/>
          <w:color w:val="0D5ECA"/>
          <w:spacing w:val="8"/>
          <w:sz w:val="24"/>
          <w:szCs w:val="24"/>
          <w:shd w:val="clear" w:color="auto" w:fill="FFFFFF"/>
        </w:rPr>
        <w:t>.</w:t>
      </w:r>
    </w:p>
    <w:p w14:paraId="5AC961F3" w14:textId="77777777" w:rsidR="005359DC" w:rsidRDefault="005359DC" w:rsidP="005359DC">
      <w:pPr>
        <w:pStyle w:val="Default"/>
        <w:rPr>
          <w:rFonts w:asciiTheme="minorHAnsi" w:eastAsia="Times New Roman" w:hAnsiTheme="minorHAnsi" w:cstheme="minorBidi"/>
          <w:color w:val="auto"/>
        </w:rPr>
      </w:pPr>
    </w:p>
    <w:p w14:paraId="7ABF7B92" w14:textId="77777777" w:rsidR="005359DC" w:rsidRPr="006C6AC1" w:rsidRDefault="005359DC" w:rsidP="005359DC">
      <w:pPr>
        <w:pStyle w:val="Default"/>
        <w:rPr>
          <w:rFonts w:asciiTheme="minorHAnsi" w:hAnsiTheme="minorHAnsi" w:cstheme="minorBidi"/>
          <w:color w:val="auto"/>
        </w:rPr>
      </w:pPr>
      <w:r w:rsidRPr="783A2AEA">
        <w:rPr>
          <w:rFonts w:asciiTheme="minorHAnsi" w:eastAsia="Times New Roman" w:hAnsiTheme="minorHAnsi" w:cstheme="minorBidi"/>
          <w:color w:val="auto"/>
          <w:spacing w:val="8"/>
        </w:rPr>
        <w:t xml:space="preserve">We have relied on technology from MindBridge. </w:t>
      </w:r>
      <w:r w:rsidRPr="783A2AEA">
        <w:rPr>
          <w:rFonts w:asciiTheme="minorHAnsi" w:hAnsiTheme="minorHAnsi" w:cstheme="minorBidi"/>
          <w:color w:val="auto"/>
          <w:shd w:val="clear" w:color="auto" w:fill="FFFFFF"/>
        </w:rPr>
        <w:t>The revised Code also cites f</w:t>
      </w:r>
      <w:r w:rsidRPr="783A2AEA">
        <w:rPr>
          <w:rFonts w:asciiTheme="minorHAnsi" w:hAnsiTheme="minorHAnsi" w:cstheme="minorBidi"/>
          <w:color w:val="auto"/>
        </w:rPr>
        <w:t xml:space="preserve">actors to consider when determining whether reliance on technology is reasonable. </w:t>
      </w:r>
    </w:p>
    <w:p w14:paraId="1EF47725" w14:textId="77777777" w:rsidR="005359DC" w:rsidRDefault="005359DC" w:rsidP="005359DC">
      <w:pPr>
        <w:pStyle w:val="Default"/>
        <w:rPr>
          <w:rFonts w:eastAsia="Calibri"/>
          <w:color w:val="000000" w:themeColor="text1"/>
        </w:rPr>
      </w:pPr>
    </w:p>
    <w:p w14:paraId="238B7786" w14:textId="77777777" w:rsidR="005359DC" w:rsidRPr="00B007D7" w:rsidRDefault="005359DC" w:rsidP="005359DC">
      <w:pPr>
        <w:shd w:val="clear" w:color="auto" w:fill="FFFFFF" w:themeFill="background1"/>
        <w:spacing w:before="100" w:beforeAutospacing="1" w:after="100" w:afterAutospacing="1" w:line="240" w:lineRule="auto"/>
        <w:rPr>
          <w:b/>
          <w:bCs/>
        </w:rPr>
      </w:pPr>
      <w:r w:rsidRPr="006E05DD">
        <w:rPr>
          <w:color w:val="2D3B49"/>
          <w:spacing w:val="8"/>
          <w:sz w:val="24"/>
          <w:szCs w:val="24"/>
          <w:shd w:val="clear" w:color="auto" w:fill="FFFFFF"/>
        </w:rPr>
        <w:t xml:space="preserve"> </w:t>
      </w:r>
      <w:r w:rsidRPr="3610F4F2">
        <w:rPr>
          <w:b/>
          <w:bCs/>
        </w:rPr>
        <w:t xml:space="preserve">Technology Ethics </w:t>
      </w:r>
    </w:p>
    <w:p w14:paraId="3875022F" w14:textId="77777777" w:rsidR="005359DC" w:rsidRPr="0026000D" w:rsidRDefault="005359DC" w:rsidP="005359DC">
      <w:pPr>
        <w:pStyle w:val="Default"/>
        <w:rPr>
          <w:rFonts w:asciiTheme="minorHAnsi" w:hAnsiTheme="minorHAnsi" w:cstheme="minorBidi"/>
        </w:rPr>
      </w:pPr>
      <w:r w:rsidRPr="3610F4F2">
        <w:rPr>
          <w:rFonts w:asciiTheme="minorHAnsi" w:hAnsiTheme="minorHAnsi" w:cstheme="minorBidi"/>
        </w:rPr>
        <w:t>We have also specifically assessed the following criteria based on the factors to rely on the work of others or technology as outlined in proposed ¶320.10 A2</w:t>
      </w:r>
      <w:r w:rsidRPr="0026000D">
        <w:rPr>
          <w:rStyle w:val="FootnoteReference"/>
          <w:rFonts w:asciiTheme="minorHAnsi" w:hAnsiTheme="minorHAnsi" w:cstheme="minorHAnsi"/>
        </w:rPr>
        <w:footnoteReference w:id="2"/>
      </w:r>
      <w:r w:rsidRPr="3610F4F2">
        <w:rPr>
          <w:rFonts w:asciiTheme="minorHAnsi" w:hAnsiTheme="minorHAnsi" w:cstheme="minorBidi"/>
        </w:rPr>
        <w:t xml:space="preserve">  </w:t>
      </w:r>
    </w:p>
    <w:p w14:paraId="7BE188E2" w14:textId="77777777" w:rsidR="005359DC" w:rsidRPr="0026000D" w:rsidRDefault="005359DC" w:rsidP="005359DC">
      <w:pPr>
        <w:pStyle w:val="Default"/>
        <w:rPr>
          <w:rFonts w:asciiTheme="minorHAnsi" w:hAnsiTheme="minorHAnsi" w:cstheme="minorBidi"/>
        </w:rPr>
      </w:pPr>
    </w:p>
    <w:p w14:paraId="164D2EB4" w14:textId="77777777" w:rsidR="005359DC" w:rsidRDefault="005359DC" w:rsidP="005359DC">
      <w:pPr>
        <w:pStyle w:val="Default"/>
        <w:numPr>
          <w:ilvl w:val="0"/>
          <w:numId w:val="4"/>
        </w:numPr>
        <w:rPr>
          <w:rFonts w:asciiTheme="minorHAnsi" w:hAnsiTheme="minorHAnsi" w:cstheme="minorBidi"/>
        </w:rPr>
      </w:pPr>
      <w:r w:rsidRPr="3610F4F2">
        <w:rPr>
          <w:rFonts w:asciiTheme="minorHAnsi" w:hAnsiTheme="minorHAnsi" w:cstheme="minorBidi"/>
        </w:rPr>
        <w:t>The nature of the activity to be performed by the technology</w:t>
      </w:r>
    </w:p>
    <w:p w14:paraId="2A0578BF" w14:textId="77777777" w:rsidR="005359DC" w:rsidRDefault="005359DC" w:rsidP="005359DC">
      <w:pPr>
        <w:pStyle w:val="ListParagraph"/>
        <w:autoSpaceDE w:val="0"/>
        <w:autoSpaceDN w:val="0"/>
        <w:adjustRightInd w:val="0"/>
        <w:spacing w:after="94" w:line="240" w:lineRule="auto"/>
        <w:ind w:left="1079"/>
        <w:rPr>
          <w:i/>
          <w:iCs/>
          <w:color w:val="000000" w:themeColor="text1"/>
          <w:sz w:val="24"/>
          <w:szCs w:val="24"/>
        </w:rPr>
      </w:pPr>
    </w:p>
    <w:p w14:paraId="2EF60A8F" w14:textId="77777777" w:rsidR="005359DC" w:rsidRDefault="005359DC" w:rsidP="005359DC">
      <w:pPr>
        <w:pStyle w:val="ListParagraph"/>
        <w:autoSpaceDE w:val="0"/>
        <w:autoSpaceDN w:val="0"/>
        <w:adjustRightInd w:val="0"/>
        <w:spacing w:after="94" w:line="240" w:lineRule="auto"/>
        <w:ind w:left="1079"/>
        <w:rPr>
          <w:i/>
          <w:iCs/>
          <w:color w:val="000000" w:themeColor="text1"/>
          <w:sz w:val="24"/>
          <w:szCs w:val="24"/>
        </w:rPr>
      </w:pPr>
      <w:r w:rsidRPr="3610F4F2">
        <w:rPr>
          <w:i/>
          <w:iCs/>
          <w:color w:val="000000" w:themeColor="text1"/>
          <w:sz w:val="24"/>
          <w:szCs w:val="24"/>
        </w:rPr>
        <w:t xml:space="preserve">We utilize MindBridge for the following procedures and tests </w:t>
      </w:r>
    </w:p>
    <w:p w14:paraId="2FFFDB41" w14:textId="77777777" w:rsidR="005359DC" w:rsidRDefault="005359DC" w:rsidP="005359DC">
      <w:pPr>
        <w:pStyle w:val="ListParagraph"/>
        <w:autoSpaceDE w:val="0"/>
        <w:autoSpaceDN w:val="0"/>
        <w:adjustRightInd w:val="0"/>
        <w:spacing w:after="94" w:line="240" w:lineRule="auto"/>
        <w:ind w:left="1079"/>
        <w:rPr>
          <w:i/>
          <w:iCs/>
          <w:color w:val="000000" w:themeColor="text1"/>
          <w:sz w:val="24"/>
          <w:szCs w:val="24"/>
        </w:rPr>
      </w:pPr>
    </w:p>
    <w:p w14:paraId="058B1526" w14:textId="77777777" w:rsidR="005359DC" w:rsidRDefault="005359DC" w:rsidP="005359DC">
      <w:pPr>
        <w:pStyle w:val="ListParagraph"/>
        <w:numPr>
          <w:ilvl w:val="0"/>
          <w:numId w:val="5"/>
        </w:numPr>
        <w:autoSpaceDE w:val="0"/>
        <w:autoSpaceDN w:val="0"/>
        <w:adjustRightInd w:val="0"/>
        <w:spacing w:after="94" w:line="240" w:lineRule="auto"/>
        <w:rPr>
          <w:i/>
          <w:iCs/>
          <w:color w:val="000000" w:themeColor="text1"/>
          <w:sz w:val="24"/>
          <w:szCs w:val="24"/>
        </w:rPr>
      </w:pPr>
      <w:r w:rsidRPr="3610F4F2">
        <w:rPr>
          <w:i/>
          <w:iCs/>
          <w:color w:val="000000" w:themeColor="text1"/>
          <w:sz w:val="24"/>
          <w:szCs w:val="24"/>
        </w:rPr>
        <w:t xml:space="preserve">Planning analytics </w:t>
      </w:r>
    </w:p>
    <w:p w14:paraId="43B6FFB0" w14:textId="77777777" w:rsidR="005359DC" w:rsidRDefault="005359DC" w:rsidP="005359DC">
      <w:pPr>
        <w:pStyle w:val="ListParagraph"/>
        <w:numPr>
          <w:ilvl w:val="0"/>
          <w:numId w:val="5"/>
        </w:numPr>
        <w:autoSpaceDE w:val="0"/>
        <w:autoSpaceDN w:val="0"/>
        <w:adjustRightInd w:val="0"/>
        <w:spacing w:after="94" w:line="240" w:lineRule="auto"/>
        <w:rPr>
          <w:i/>
          <w:iCs/>
          <w:color w:val="000000" w:themeColor="text1"/>
          <w:sz w:val="24"/>
          <w:szCs w:val="24"/>
        </w:rPr>
      </w:pPr>
      <w:r w:rsidRPr="3610F4F2">
        <w:rPr>
          <w:i/>
          <w:iCs/>
          <w:color w:val="000000" w:themeColor="text1"/>
          <w:sz w:val="24"/>
          <w:szCs w:val="24"/>
        </w:rPr>
        <w:t xml:space="preserve">Risk assessments </w:t>
      </w:r>
    </w:p>
    <w:p w14:paraId="5E7BD535" w14:textId="77777777" w:rsidR="005359DC" w:rsidRDefault="005359DC" w:rsidP="005359DC">
      <w:pPr>
        <w:pStyle w:val="ListParagraph"/>
        <w:numPr>
          <w:ilvl w:val="0"/>
          <w:numId w:val="5"/>
        </w:numPr>
        <w:autoSpaceDE w:val="0"/>
        <w:autoSpaceDN w:val="0"/>
        <w:adjustRightInd w:val="0"/>
        <w:spacing w:after="94" w:line="240" w:lineRule="auto"/>
        <w:rPr>
          <w:i/>
          <w:iCs/>
          <w:color w:val="000000" w:themeColor="text1"/>
          <w:sz w:val="24"/>
          <w:szCs w:val="24"/>
        </w:rPr>
      </w:pPr>
      <w:r w:rsidRPr="3610F4F2">
        <w:rPr>
          <w:i/>
          <w:iCs/>
          <w:color w:val="000000" w:themeColor="text1"/>
          <w:sz w:val="24"/>
          <w:szCs w:val="24"/>
        </w:rPr>
        <w:t xml:space="preserve">Full population transaction scoring </w:t>
      </w:r>
    </w:p>
    <w:p w14:paraId="4FAF3D07" w14:textId="77777777" w:rsidR="005359DC" w:rsidRDefault="005359DC" w:rsidP="005359DC">
      <w:pPr>
        <w:pStyle w:val="ListParagraph"/>
        <w:numPr>
          <w:ilvl w:val="0"/>
          <w:numId w:val="5"/>
        </w:numPr>
        <w:autoSpaceDE w:val="0"/>
        <w:autoSpaceDN w:val="0"/>
        <w:adjustRightInd w:val="0"/>
        <w:spacing w:after="94" w:line="240" w:lineRule="auto"/>
        <w:rPr>
          <w:i/>
          <w:iCs/>
          <w:color w:val="000000" w:themeColor="text1"/>
          <w:sz w:val="24"/>
          <w:szCs w:val="24"/>
        </w:rPr>
      </w:pPr>
      <w:r w:rsidRPr="3610F4F2">
        <w:rPr>
          <w:i/>
          <w:iCs/>
          <w:color w:val="000000" w:themeColor="text1"/>
          <w:sz w:val="24"/>
          <w:szCs w:val="24"/>
        </w:rPr>
        <w:t xml:space="preserve">Journal entry testing </w:t>
      </w:r>
    </w:p>
    <w:p w14:paraId="10C5092B" w14:textId="77777777" w:rsidR="005359DC" w:rsidRDefault="005359DC" w:rsidP="005359DC">
      <w:pPr>
        <w:pStyle w:val="ListParagraph"/>
        <w:numPr>
          <w:ilvl w:val="0"/>
          <w:numId w:val="5"/>
        </w:numPr>
        <w:autoSpaceDE w:val="0"/>
        <w:autoSpaceDN w:val="0"/>
        <w:adjustRightInd w:val="0"/>
        <w:spacing w:after="94" w:line="240" w:lineRule="auto"/>
        <w:rPr>
          <w:i/>
          <w:iCs/>
          <w:color w:val="000000" w:themeColor="text1"/>
          <w:sz w:val="24"/>
          <w:szCs w:val="24"/>
        </w:rPr>
      </w:pPr>
      <w:r w:rsidRPr="3610F4F2">
        <w:rPr>
          <w:i/>
          <w:iCs/>
          <w:color w:val="000000" w:themeColor="text1"/>
          <w:sz w:val="24"/>
          <w:szCs w:val="24"/>
        </w:rPr>
        <w:t xml:space="preserve">Sampling </w:t>
      </w:r>
    </w:p>
    <w:p w14:paraId="71FD5F01" w14:textId="77777777" w:rsidR="005359DC" w:rsidRDefault="005359DC" w:rsidP="005359DC">
      <w:pPr>
        <w:pStyle w:val="ListParagraph"/>
        <w:numPr>
          <w:ilvl w:val="0"/>
          <w:numId w:val="5"/>
        </w:numPr>
        <w:autoSpaceDE w:val="0"/>
        <w:autoSpaceDN w:val="0"/>
        <w:adjustRightInd w:val="0"/>
        <w:spacing w:after="94" w:line="240" w:lineRule="auto"/>
        <w:rPr>
          <w:i/>
          <w:iCs/>
          <w:color w:val="000000" w:themeColor="text1"/>
          <w:sz w:val="24"/>
          <w:szCs w:val="24"/>
        </w:rPr>
      </w:pPr>
      <w:r w:rsidRPr="3610F4F2">
        <w:rPr>
          <w:i/>
          <w:iCs/>
          <w:color w:val="000000" w:themeColor="text1"/>
          <w:sz w:val="24"/>
          <w:szCs w:val="24"/>
        </w:rPr>
        <w:t xml:space="preserve">Overall analytical review </w:t>
      </w:r>
    </w:p>
    <w:p w14:paraId="2032A5E5" w14:textId="77777777" w:rsidR="005359DC" w:rsidRDefault="005359DC" w:rsidP="005359DC">
      <w:pPr>
        <w:pStyle w:val="ListParagraph"/>
        <w:numPr>
          <w:ilvl w:val="0"/>
          <w:numId w:val="5"/>
        </w:numPr>
        <w:autoSpaceDE w:val="0"/>
        <w:autoSpaceDN w:val="0"/>
        <w:adjustRightInd w:val="0"/>
        <w:spacing w:after="94" w:line="240" w:lineRule="auto"/>
        <w:rPr>
          <w:i/>
          <w:iCs/>
          <w:color w:val="000000" w:themeColor="text1"/>
          <w:sz w:val="24"/>
          <w:szCs w:val="24"/>
        </w:rPr>
      </w:pPr>
      <w:proofErr w:type="spellStart"/>
      <w:r w:rsidRPr="3610F4F2">
        <w:rPr>
          <w:i/>
          <w:iCs/>
          <w:color w:val="000000" w:themeColor="text1"/>
          <w:sz w:val="24"/>
          <w:szCs w:val="24"/>
        </w:rPr>
        <w:t>Standback</w:t>
      </w:r>
      <w:proofErr w:type="spellEnd"/>
      <w:r w:rsidRPr="3610F4F2">
        <w:rPr>
          <w:i/>
          <w:iCs/>
          <w:color w:val="000000" w:themeColor="text1"/>
          <w:sz w:val="24"/>
          <w:szCs w:val="24"/>
        </w:rPr>
        <w:t xml:space="preserve"> assessments at the completion of the engagement </w:t>
      </w:r>
    </w:p>
    <w:p w14:paraId="521317D5" w14:textId="77777777" w:rsidR="005359DC" w:rsidRPr="004F03D0" w:rsidRDefault="005359DC" w:rsidP="005359DC">
      <w:pPr>
        <w:pStyle w:val="ListParagraph"/>
        <w:numPr>
          <w:ilvl w:val="0"/>
          <w:numId w:val="5"/>
        </w:numPr>
        <w:autoSpaceDE w:val="0"/>
        <w:autoSpaceDN w:val="0"/>
        <w:adjustRightInd w:val="0"/>
        <w:spacing w:after="94" w:line="240" w:lineRule="auto"/>
        <w:rPr>
          <w:i/>
          <w:iCs/>
          <w:color w:val="000000" w:themeColor="text1"/>
          <w:sz w:val="24"/>
          <w:szCs w:val="24"/>
        </w:rPr>
      </w:pPr>
      <w:r w:rsidRPr="3610F4F2">
        <w:rPr>
          <w:i/>
          <w:iCs/>
          <w:color w:val="000000" w:themeColor="text1"/>
          <w:sz w:val="24"/>
          <w:szCs w:val="24"/>
        </w:rPr>
        <w:t xml:space="preserve">[Insert steps, as appropriate] </w:t>
      </w:r>
    </w:p>
    <w:p w14:paraId="418637D2" w14:textId="77777777" w:rsidR="005359DC" w:rsidRDefault="005359DC" w:rsidP="005359DC">
      <w:pPr>
        <w:pStyle w:val="ListParagraph"/>
        <w:autoSpaceDE w:val="0"/>
        <w:autoSpaceDN w:val="0"/>
        <w:adjustRightInd w:val="0"/>
        <w:spacing w:after="94" w:line="240" w:lineRule="auto"/>
        <w:ind w:left="1079"/>
        <w:rPr>
          <w:i/>
          <w:iCs/>
          <w:color w:val="000000" w:themeColor="text1"/>
          <w:sz w:val="24"/>
          <w:szCs w:val="24"/>
        </w:rPr>
      </w:pPr>
    </w:p>
    <w:p w14:paraId="55184D47" w14:textId="77777777" w:rsidR="005359DC" w:rsidRPr="006C6AC1" w:rsidRDefault="005359DC" w:rsidP="005359DC">
      <w:pPr>
        <w:pStyle w:val="ListParagraph"/>
        <w:autoSpaceDE w:val="0"/>
        <w:autoSpaceDN w:val="0"/>
        <w:adjustRightInd w:val="0"/>
        <w:spacing w:after="94" w:line="240" w:lineRule="auto"/>
        <w:ind w:left="1079"/>
        <w:rPr>
          <w:i/>
          <w:iCs/>
          <w:color w:val="000000"/>
          <w:sz w:val="24"/>
          <w:szCs w:val="24"/>
        </w:rPr>
      </w:pPr>
      <w:r w:rsidRPr="783A2AEA">
        <w:rPr>
          <w:i/>
          <w:iCs/>
          <w:color w:val="000000" w:themeColor="text1"/>
          <w:sz w:val="24"/>
          <w:szCs w:val="24"/>
        </w:rPr>
        <w:lastRenderedPageBreak/>
        <w:t xml:space="preserve">We have confirmed that MindBridge’s technology is appropriate and sufficient for such purposes </w:t>
      </w:r>
    </w:p>
    <w:p w14:paraId="20597C67" w14:textId="77777777" w:rsidR="005359DC" w:rsidRPr="0026000D" w:rsidRDefault="005359DC" w:rsidP="005359DC">
      <w:pPr>
        <w:pStyle w:val="Default"/>
        <w:rPr>
          <w:rFonts w:asciiTheme="minorHAnsi" w:hAnsiTheme="minorHAnsi" w:cstheme="minorBidi"/>
        </w:rPr>
      </w:pPr>
    </w:p>
    <w:p w14:paraId="24064C91" w14:textId="77777777" w:rsidR="005359DC" w:rsidRDefault="005359DC" w:rsidP="005359DC">
      <w:pPr>
        <w:pStyle w:val="Default"/>
        <w:numPr>
          <w:ilvl w:val="0"/>
          <w:numId w:val="4"/>
        </w:numPr>
        <w:rPr>
          <w:rFonts w:asciiTheme="minorHAnsi" w:hAnsiTheme="minorHAnsi" w:cstheme="minorBidi"/>
        </w:rPr>
      </w:pPr>
      <w:r w:rsidRPr="3610F4F2">
        <w:rPr>
          <w:rFonts w:asciiTheme="minorHAnsi" w:hAnsiTheme="minorHAnsi" w:cstheme="minorBidi"/>
        </w:rPr>
        <w:t>The expected use of, or extent of reliance on, the output from the technology</w:t>
      </w:r>
    </w:p>
    <w:p w14:paraId="20B425A7" w14:textId="77777777" w:rsidR="005359DC" w:rsidRDefault="005359DC" w:rsidP="005359DC">
      <w:pPr>
        <w:pStyle w:val="ListParagraph"/>
        <w:autoSpaceDE w:val="0"/>
        <w:autoSpaceDN w:val="0"/>
        <w:adjustRightInd w:val="0"/>
        <w:spacing w:after="94" w:line="240" w:lineRule="auto"/>
        <w:ind w:left="1079"/>
        <w:rPr>
          <w:i/>
          <w:iCs/>
          <w:sz w:val="24"/>
          <w:szCs w:val="24"/>
        </w:rPr>
      </w:pPr>
    </w:p>
    <w:p w14:paraId="3A153C61" w14:textId="77777777" w:rsidR="005359DC" w:rsidRPr="006C6AC1" w:rsidRDefault="005359DC" w:rsidP="005359DC">
      <w:pPr>
        <w:pStyle w:val="ListParagraph"/>
        <w:autoSpaceDE w:val="0"/>
        <w:autoSpaceDN w:val="0"/>
        <w:adjustRightInd w:val="0"/>
        <w:spacing w:after="94" w:line="240" w:lineRule="auto"/>
        <w:ind w:left="1079"/>
        <w:rPr>
          <w:i/>
          <w:iCs/>
          <w:sz w:val="24"/>
          <w:szCs w:val="24"/>
        </w:rPr>
      </w:pPr>
      <w:r w:rsidRPr="783A2AEA">
        <w:rPr>
          <w:i/>
          <w:iCs/>
          <w:sz w:val="24"/>
          <w:szCs w:val="24"/>
        </w:rPr>
        <w:t xml:space="preserve">We have determined that the output from MindBridge’s technology will be used to inform better inform with data for the above-listed procedures. We believe that the extent of reliance on that output is appropriate. MindBridge’s reports also include a completeness report that validates that complete data was loaded to the system and provides underlying support in various report exports.    </w:t>
      </w:r>
    </w:p>
    <w:p w14:paraId="5BBA1E5E" w14:textId="77777777" w:rsidR="005359DC" w:rsidRDefault="005359DC" w:rsidP="005359DC">
      <w:pPr>
        <w:pStyle w:val="ListParagraph"/>
        <w:spacing w:after="94" w:line="240" w:lineRule="auto"/>
      </w:pPr>
    </w:p>
    <w:p w14:paraId="0E2BE0C8" w14:textId="77777777" w:rsidR="005359DC" w:rsidRDefault="005359DC" w:rsidP="005359DC">
      <w:pPr>
        <w:pStyle w:val="ListParagraph"/>
        <w:numPr>
          <w:ilvl w:val="0"/>
          <w:numId w:val="4"/>
        </w:numPr>
        <w:spacing w:after="94" w:line="240" w:lineRule="auto"/>
      </w:pPr>
      <w:r w:rsidRPr="3610F4F2">
        <w:t xml:space="preserve">The professional accountant’s ability to understand the output from the technology for the context in which it is to be used. </w:t>
      </w:r>
    </w:p>
    <w:p w14:paraId="445B09F6" w14:textId="77777777" w:rsidR="005359DC" w:rsidRDefault="005359DC" w:rsidP="005359DC">
      <w:pPr>
        <w:pStyle w:val="Default"/>
        <w:rPr>
          <w:rFonts w:asciiTheme="minorHAnsi" w:hAnsiTheme="minorHAnsi" w:cstheme="minorBidi"/>
        </w:rPr>
      </w:pPr>
    </w:p>
    <w:p w14:paraId="7399E9C5" w14:textId="77777777" w:rsidR="005359DC" w:rsidRPr="006C6AC1" w:rsidRDefault="005359DC" w:rsidP="005359DC">
      <w:pPr>
        <w:pStyle w:val="ListParagraph"/>
        <w:autoSpaceDE w:val="0"/>
        <w:autoSpaceDN w:val="0"/>
        <w:adjustRightInd w:val="0"/>
        <w:spacing w:after="94" w:line="240" w:lineRule="auto"/>
        <w:ind w:left="1079"/>
        <w:rPr>
          <w:i/>
          <w:iCs/>
          <w:sz w:val="24"/>
          <w:szCs w:val="24"/>
        </w:rPr>
      </w:pPr>
      <w:r w:rsidRPr="19E73B3E">
        <w:rPr>
          <w:i/>
          <w:iCs/>
          <w:sz w:val="24"/>
          <w:szCs w:val="24"/>
        </w:rPr>
        <w:t xml:space="preserve">Our firm has sufficient expertise and knowledge of the organization to understand the context in which the technology will be used.  The documentation provided by MindBridge in their Knowledge Base is written in plain English, and their workpaper exports (.pdf, .docx, .xlsx, etc.) provide additional information to show how the workpaper was generated so that we can understand the output. </w:t>
      </w:r>
    </w:p>
    <w:p w14:paraId="72AA2EBD" w14:textId="77777777" w:rsidR="005359DC" w:rsidRDefault="005359DC" w:rsidP="005359DC">
      <w:pPr>
        <w:pStyle w:val="Default"/>
        <w:ind w:left="720"/>
        <w:rPr>
          <w:rFonts w:asciiTheme="minorHAnsi" w:hAnsiTheme="minorHAnsi" w:cstheme="minorBidi"/>
        </w:rPr>
      </w:pPr>
    </w:p>
    <w:p w14:paraId="05CFF263" w14:textId="77777777" w:rsidR="005359DC" w:rsidRDefault="005359DC" w:rsidP="005359DC">
      <w:pPr>
        <w:pStyle w:val="Default"/>
        <w:numPr>
          <w:ilvl w:val="0"/>
          <w:numId w:val="4"/>
        </w:numPr>
        <w:rPr>
          <w:rFonts w:asciiTheme="minorHAnsi" w:eastAsiaTheme="minorEastAsia" w:hAnsiTheme="minorHAnsi" w:cstheme="minorBidi"/>
          <w:color w:val="000000" w:themeColor="text1"/>
        </w:rPr>
      </w:pPr>
      <w:r w:rsidRPr="3610F4F2">
        <w:rPr>
          <w:rFonts w:asciiTheme="minorHAnsi" w:hAnsiTheme="minorHAnsi" w:cstheme="minorBidi"/>
        </w:rPr>
        <w:t xml:space="preserve">Whether the technology is established and effective for the purpose intended. </w:t>
      </w:r>
    </w:p>
    <w:p w14:paraId="15927ED5" w14:textId="77777777" w:rsidR="005359DC" w:rsidRDefault="005359DC" w:rsidP="005359DC">
      <w:pPr>
        <w:pStyle w:val="ListParagraph"/>
        <w:autoSpaceDE w:val="0"/>
        <w:autoSpaceDN w:val="0"/>
        <w:adjustRightInd w:val="0"/>
        <w:spacing w:after="94" w:line="240" w:lineRule="auto"/>
        <w:ind w:left="1079"/>
        <w:rPr>
          <w:i/>
          <w:iCs/>
          <w:spacing w:val="8"/>
          <w:sz w:val="24"/>
          <w:szCs w:val="24"/>
          <w:shd w:val="clear" w:color="auto" w:fill="FFFFFF"/>
        </w:rPr>
      </w:pPr>
    </w:p>
    <w:p w14:paraId="30187411" w14:textId="77777777" w:rsidR="005359DC" w:rsidRDefault="005359DC" w:rsidP="005359DC">
      <w:pPr>
        <w:autoSpaceDE w:val="0"/>
        <w:autoSpaceDN w:val="0"/>
        <w:adjustRightInd w:val="0"/>
        <w:spacing w:after="94" w:line="240" w:lineRule="auto"/>
        <w:ind w:left="1079"/>
        <w:rPr>
          <w:i/>
          <w:iCs/>
          <w:color w:val="000000"/>
          <w:sz w:val="24"/>
          <w:szCs w:val="24"/>
        </w:rPr>
      </w:pPr>
      <w:r w:rsidRPr="783A2AEA">
        <w:rPr>
          <w:i/>
          <w:iCs/>
          <w:color w:val="000000" w:themeColor="text1"/>
          <w:sz w:val="24"/>
          <w:szCs w:val="24"/>
        </w:rPr>
        <w:t xml:space="preserve">As discussed above, MindBridge has been certified as having high levels of reliability from a variety of independent sources. The areas these sources have reviewed include the design suitability and operating effectiveness of its controls, its use of information technology and security best practices, and its audit algorithms. </w:t>
      </w:r>
    </w:p>
    <w:p w14:paraId="35297CFA" w14:textId="77777777" w:rsidR="005359DC" w:rsidRPr="006C6AC1" w:rsidRDefault="005359DC" w:rsidP="005359DC">
      <w:pPr>
        <w:pStyle w:val="ListParagraph"/>
        <w:autoSpaceDE w:val="0"/>
        <w:autoSpaceDN w:val="0"/>
        <w:adjustRightInd w:val="0"/>
        <w:spacing w:after="94" w:line="240" w:lineRule="auto"/>
        <w:ind w:left="1079"/>
        <w:rPr>
          <w:i/>
          <w:iCs/>
          <w:sz w:val="24"/>
          <w:szCs w:val="24"/>
        </w:rPr>
      </w:pPr>
      <w:r w:rsidRPr="3610F4F2">
        <w:rPr>
          <w:i/>
          <w:iCs/>
          <w:spacing w:val="8"/>
          <w:sz w:val="24"/>
          <w:szCs w:val="24"/>
          <w:shd w:val="clear" w:color="auto" w:fill="FFFFFF"/>
        </w:rPr>
        <w:t xml:space="preserve">Further, </w:t>
      </w:r>
      <w:r w:rsidRPr="3610F4F2">
        <w:rPr>
          <w:i/>
          <w:iCs/>
          <w:sz w:val="24"/>
          <w:szCs w:val="24"/>
        </w:rPr>
        <w:t>MindBridge</w:t>
      </w:r>
      <w:r w:rsidRPr="3610F4F2">
        <w:rPr>
          <w:i/>
          <w:iCs/>
          <w:spacing w:val="8"/>
          <w:sz w:val="24"/>
          <w:szCs w:val="24"/>
          <w:shd w:val="clear" w:color="auto" w:fill="FFFFFF"/>
        </w:rPr>
        <w:t xml:space="preserve"> serves customers in the audit and advisory, enterprise, government, and financial institution industry around the world.</w:t>
      </w:r>
      <w:r w:rsidRPr="3610F4F2">
        <w:rPr>
          <w:i/>
          <w:iCs/>
          <w:sz w:val="24"/>
          <w:szCs w:val="24"/>
        </w:rPr>
        <w:t xml:space="preserve">  </w:t>
      </w:r>
      <w:r w:rsidRPr="3610F4F2">
        <w:rPr>
          <w:i/>
          <w:iCs/>
          <w:spacing w:val="8"/>
          <w:sz w:val="24"/>
          <w:szCs w:val="24"/>
          <w:shd w:val="clear" w:color="auto" w:fill="FFFFFF"/>
        </w:rPr>
        <w:t xml:space="preserve"> They have customers of all sizes of firms from global, major firms to smaller practitioners. In addition, the brand is well known in the audit field for enhancing audit quality. </w:t>
      </w:r>
    </w:p>
    <w:p w14:paraId="13AC63A1" w14:textId="77777777" w:rsidR="005359DC" w:rsidRPr="0026000D" w:rsidRDefault="005359DC" w:rsidP="005359DC">
      <w:pPr>
        <w:pStyle w:val="Default"/>
        <w:rPr>
          <w:rFonts w:asciiTheme="minorHAnsi" w:hAnsiTheme="minorHAnsi" w:cstheme="minorBidi"/>
        </w:rPr>
      </w:pPr>
    </w:p>
    <w:p w14:paraId="5776E50A" w14:textId="77777777" w:rsidR="005359DC" w:rsidRDefault="005359DC" w:rsidP="005359DC">
      <w:pPr>
        <w:pStyle w:val="Default"/>
        <w:numPr>
          <w:ilvl w:val="0"/>
          <w:numId w:val="4"/>
        </w:numPr>
        <w:rPr>
          <w:rFonts w:asciiTheme="minorHAnsi" w:hAnsiTheme="minorHAnsi" w:cstheme="minorBidi"/>
        </w:rPr>
      </w:pPr>
      <w:r w:rsidRPr="3610F4F2">
        <w:rPr>
          <w:rFonts w:asciiTheme="minorHAnsi" w:hAnsiTheme="minorHAnsi" w:cstheme="minorBidi"/>
        </w:rPr>
        <w:t xml:space="preserve">Whether new technology has been appropriately tested and evaluated for the purpose intended. </w:t>
      </w:r>
    </w:p>
    <w:p w14:paraId="073D8A67" w14:textId="77777777" w:rsidR="005359DC" w:rsidRDefault="005359DC" w:rsidP="005359DC">
      <w:pPr>
        <w:pStyle w:val="Default"/>
        <w:rPr>
          <w:rFonts w:asciiTheme="minorHAnsi" w:hAnsiTheme="minorHAnsi" w:cstheme="minorBidi"/>
        </w:rPr>
      </w:pPr>
    </w:p>
    <w:p w14:paraId="5EF335C2" w14:textId="77777777" w:rsidR="005359DC" w:rsidRDefault="005359DC" w:rsidP="005359DC">
      <w:pPr>
        <w:autoSpaceDE w:val="0"/>
        <w:autoSpaceDN w:val="0"/>
        <w:adjustRightInd w:val="0"/>
        <w:spacing w:after="94" w:line="240" w:lineRule="auto"/>
        <w:ind w:left="1079"/>
        <w:rPr>
          <w:i/>
          <w:iCs/>
          <w:color w:val="000000"/>
          <w:sz w:val="24"/>
          <w:szCs w:val="24"/>
        </w:rPr>
      </w:pPr>
      <w:r w:rsidRPr="783A2AEA">
        <w:rPr>
          <w:i/>
          <w:iCs/>
          <w:color w:val="000000" w:themeColor="text1"/>
          <w:sz w:val="24"/>
          <w:szCs w:val="24"/>
        </w:rPr>
        <w:t xml:space="preserve">As discussed above, MindBridge has been certified as having high levels of reliability from a variety of independent sources. The areas these sources have reviewed include the design suitability and operating effectiveness of its controls, its use of information technology and security best practices, and its audit algorithms. </w:t>
      </w:r>
    </w:p>
    <w:p w14:paraId="336230FD" w14:textId="77777777" w:rsidR="005359DC" w:rsidRDefault="005359DC" w:rsidP="005359DC">
      <w:pPr>
        <w:pStyle w:val="Default"/>
        <w:ind w:left="1079"/>
        <w:rPr>
          <w:rFonts w:asciiTheme="minorHAnsi" w:hAnsiTheme="minorHAnsi" w:cstheme="minorBidi"/>
        </w:rPr>
      </w:pPr>
    </w:p>
    <w:p w14:paraId="58FE27C2" w14:textId="77777777" w:rsidR="005359DC" w:rsidRPr="001407BE" w:rsidRDefault="005359DC" w:rsidP="005359DC">
      <w:pPr>
        <w:pStyle w:val="Default"/>
        <w:ind w:left="1079"/>
        <w:rPr>
          <w:rFonts w:asciiTheme="minorHAnsi" w:hAnsiTheme="minorHAnsi" w:cstheme="minorBidi"/>
          <w:i/>
          <w:iCs/>
        </w:rPr>
      </w:pPr>
      <w:r w:rsidRPr="47345DEC">
        <w:rPr>
          <w:rFonts w:asciiTheme="minorHAnsi" w:hAnsiTheme="minorHAnsi" w:cstheme="minorBidi"/>
          <w:i/>
          <w:iCs/>
        </w:rPr>
        <w:lastRenderedPageBreak/>
        <w:t>Further, we performed internal procedures to assess the software to determine that it was fit for our purposes as outlined in #1 above. &lt;&lt;describe such assessment procedures&gt;&gt;</w:t>
      </w:r>
    </w:p>
    <w:p w14:paraId="2948331E" w14:textId="77777777" w:rsidR="005359DC" w:rsidRDefault="005359DC" w:rsidP="005359DC">
      <w:pPr>
        <w:pStyle w:val="Default"/>
        <w:ind w:left="719"/>
        <w:rPr>
          <w:rFonts w:asciiTheme="minorHAnsi" w:hAnsiTheme="minorHAnsi" w:cstheme="minorBidi"/>
        </w:rPr>
      </w:pPr>
    </w:p>
    <w:p w14:paraId="51DDC01E" w14:textId="77777777" w:rsidR="005359DC" w:rsidRDefault="005359DC" w:rsidP="005359DC">
      <w:pPr>
        <w:pStyle w:val="Default"/>
        <w:numPr>
          <w:ilvl w:val="0"/>
          <w:numId w:val="4"/>
        </w:numPr>
        <w:rPr>
          <w:rFonts w:asciiTheme="minorHAnsi" w:hAnsiTheme="minorHAnsi" w:cstheme="minorBidi"/>
        </w:rPr>
      </w:pPr>
      <w:r w:rsidRPr="3610F4F2">
        <w:rPr>
          <w:rFonts w:asciiTheme="minorHAnsi" w:hAnsiTheme="minorHAnsi" w:cstheme="minorBidi"/>
        </w:rPr>
        <w:t xml:space="preserve">The reputation of the developer of the technology if acquired from or developed by an external vendor. </w:t>
      </w:r>
    </w:p>
    <w:p w14:paraId="43201DE8" w14:textId="77777777" w:rsidR="005359DC" w:rsidRDefault="005359DC" w:rsidP="005359DC">
      <w:pPr>
        <w:autoSpaceDE w:val="0"/>
        <w:autoSpaceDN w:val="0"/>
        <w:adjustRightInd w:val="0"/>
        <w:spacing w:after="94" w:line="240" w:lineRule="auto"/>
        <w:ind w:left="1079"/>
        <w:rPr>
          <w:i/>
          <w:iCs/>
          <w:color w:val="000000"/>
          <w:sz w:val="24"/>
          <w:szCs w:val="24"/>
        </w:rPr>
      </w:pPr>
    </w:p>
    <w:p w14:paraId="42283369" w14:textId="77777777" w:rsidR="005359DC" w:rsidRDefault="005359DC" w:rsidP="005359DC">
      <w:pPr>
        <w:autoSpaceDE w:val="0"/>
        <w:autoSpaceDN w:val="0"/>
        <w:adjustRightInd w:val="0"/>
        <w:spacing w:after="94" w:line="240" w:lineRule="auto"/>
        <w:ind w:left="1079"/>
        <w:rPr>
          <w:i/>
          <w:iCs/>
          <w:color w:val="000000"/>
          <w:sz w:val="24"/>
          <w:szCs w:val="24"/>
        </w:rPr>
      </w:pPr>
      <w:r w:rsidRPr="783A2AEA">
        <w:rPr>
          <w:i/>
          <w:iCs/>
          <w:color w:val="000000" w:themeColor="text1"/>
          <w:sz w:val="24"/>
          <w:szCs w:val="24"/>
        </w:rPr>
        <w:t xml:space="preserve">As discussed above, MindBridge has been certified as having high levels of reliability from a variety of independent sources. The areas these sources have reviewed include the design suitability and operating effectiveness of its controls, its use of information technology and security best practices, and its audit algorithms. </w:t>
      </w:r>
    </w:p>
    <w:p w14:paraId="1B490CBA" w14:textId="77777777" w:rsidR="005359DC" w:rsidRDefault="005359DC" w:rsidP="005359DC">
      <w:pPr>
        <w:autoSpaceDE w:val="0"/>
        <w:autoSpaceDN w:val="0"/>
        <w:adjustRightInd w:val="0"/>
        <w:spacing w:after="94" w:line="240" w:lineRule="auto"/>
        <w:ind w:left="1079"/>
        <w:rPr>
          <w:i/>
          <w:iCs/>
          <w:color w:val="000000"/>
          <w:sz w:val="24"/>
          <w:szCs w:val="24"/>
        </w:rPr>
      </w:pPr>
    </w:p>
    <w:p w14:paraId="5C79FD48" w14:textId="372FDDE1" w:rsidR="005359DC" w:rsidRDefault="005359DC" w:rsidP="005359DC">
      <w:pPr>
        <w:pStyle w:val="ListParagraph"/>
        <w:autoSpaceDE w:val="0"/>
        <w:autoSpaceDN w:val="0"/>
        <w:adjustRightInd w:val="0"/>
        <w:spacing w:after="94" w:line="240" w:lineRule="auto"/>
        <w:ind w:left="1079"/>
        <w:rPr>
          <w:i/>
          <w:iCs/>
          <w:spacing w:val="8"/>
          <w:sz w:val="24"/>
          <w:szCs w:val="24"/>
          <w:shd w:val="clear" w:color="auto" w:fill="FFFFFF"/>
        </w:rPr>
      </w:pPr>
      <w:r w:rsidRPr="47345DEC">
        <w:rPr>
          <w:i/>
          <w:iCs/>
          <w:sz w:val="24"/>
          <w:szCs w:val="24"/>
        </w:rPr>
        <w:t>In addition to the third-party validations mentioned earlier,</w:t>
      </w:r>
      <w:r>
        <w:rPr>
          <w:i/>
          <w:iCs/>
          <w:sz w:val="24"/>
          <w:szCs w:val="24"/>
        </w:rPr>
        <w:t xml:space="preserve"> </w:t>
      </w:r>
      <w:r w:rsidRPr="47345DEC">
        <w:rPr>
          <w:i/>
          <w:iCs/>
          <w:sz w:val="24"/>
          <w:szCs w:val="24"/>
        </w:rPr>
        <w:t xml:space="preserve">MindBridge has been </w:t>
      </w:r>
      <w:r w:rsidRPr="47345DEC">
        <w:rPr>
          <w:i/>
          <w:iCs/>
          <w:spacing w:val="8"/>
          <w:sz w:val="24"/>
          <w:szCs w:val="24"/>
          <w:shd w:val="clear" w:color="auto" w:fill="FFFFFF"/>
        </w:rPr>
        <w:t xml:space="preserve">named to the Forbes AI 50, a list of private companies recognized for their contribution and continued innovation in the field of artificial intelligence. Further, they were the first private sector signatory to the </w:t>
      </w:r>
      <w:hyperlink r:id="rId16" w:history="1">
        <w:r w:rsidRPr="47345DEC">
          <w:rPr>
            <w:rStyle w:val="Hyperlink"/>
            <w:i/>
            <w:iCs/>
            <w:spacing w:val="8"/>
            <w:sz w:val="24"/>
            <w:szCs w:val="24"/>
            <w:shd w:val="clear" w:color="auto" w:fill="FFFFFF"/>
          </w:rPr>
          <w:t>Montreal Declaration for a Responsible Develop of Artificial Intelligence</w:t>
        </w:r>
      </w:hyperlink>
      <w:r w:rsidRPr="47345DEC">
        <w:rPr>
          <w:i/>
          <w:iCs/>
          <w:spacing w:val="8"/>
          <w:sz w:val="24"/>
          <w:szCs w:val="24"/>
          <w:shd w:val="clear" w:color="auto" w:fill="FFFFFF"/>
        </w:rPr>
        <w:t xml:space="preserve"> </w:t>
      </w:r>
    </w:p>
    <w:p w14:paraId="4EF69875" w14:textId="77777777" w:rsidR="005359DC" w:rsidRPr="006C6AC1" w:rsidRDefault="005359DC" w:rsidP="005359DC">
      <w:pPr>
        <w:pStyle w:val="ListParagraph"/>
        <w:autoSpaceDE w:val="0"/>
        <w:autoSpaceDN w:val="0"/>
        <w:adjustRightInd w:val="0"/>
        <w:spacing w:after="94" w:line="240" w:lineRule="auto"/>
        <w:ind w:left="1079"/>
        <w:rPr>
          <w:i/>
          <w:iCs/>
          <w:sz w:val="24"/>
          <w:szCs w:val="24"/>
        </w:rPr>
      </w:pPr>
    </w:p>
    <w:p w14:paraId="6543B085" w14:textId="77777777" w:rsidR="005359DC" w:rsidRDefault="005359DC" w:rsidP="005359DC">
      <w:pPr>
        <w:pStyle w:val="ListParagraph"/>
        <w:numPr>
          <w:ilvl w:val="0"/>
          <w:numId w:val="4"/>
        </w:numPr>
        <w:spacing w:after="94" w:line="240" w:lineRule="auto"/>
        <w:rPr>
          <w:rFonts w:eastAsiaTheme="minorEastAsia"/>
          <w:i/>
          <w:iCs/>
          <w:color w:val="000000" w:themeColor="text1"/>
          <w:sz w:val="24"/>
          <w:szCs w:val="24"/>
        </w:rPr>
      </w:pPr>
      <w:r w:rsidRPr="3610F4F2">
        <w:t>The firm’s oversight of the design, development, implementation, operation, maintenance, monitoring or updating of the technology</w:t>
      </w:r>
    </w:p>
    <w:p w14:paraId="70D7CD5C" w14:textId="77777777" w:rsidR="005359DC" w:rsidRDefault="005359DC" w:rsidP="005359DC">
      <w:pPr>
        <w:pStyle w:val="Default"/>
        <w:rPr>
          <w:rFonts w:asciiTheme="minorHAnsi" w:hAnsiTheme="minorHAnsi" w:cstheme="minorBidi"/>
        </w:rPr>
      </w:pPr>
    </w:p>
    <w:p w14:paraId="21EE239B" w14:textId="77777777" w:rsidR="005359DC" w:rsidRPr="006C6AC1" w:rsidRDefault="005359DC" w:rsidP="005359DC">
      <w:pPr>
        <w:pStyle w:val="ListParagraph"/>
        <w:autoSpaceDE w:val="0"/>
        <w:autoSpaceDN w:val="0"/>
        <w:adjustRightInd w:val="0"/>
        <w:spacing w:after="94" w:line="240" w:lineRule="auto"/>
        <w:ind w:left="1079"/>
        <w:rPr>
          <w:i/>
          <w:iCs/>
          <w:color w:val="000000"/>
          <w:sz w:val="24"/>
          <w:szCs w:val="24"/>
        </w:rPr>
      </w:pPr>
      <w:r w:rsidRPr="783A2AEA">
        <w:rPr>
          <w:i/>
          <w:iCs/>
          <w:color w:val="000000" w:themeColor="text1"/>
          <w:sz w:val="24"/>
          <w:szCs w:val="24"/>
        </w:rPr>
        <w:t>The independent reviews of MindBridge have confirmed the appropriateness and effectiveness of its quality control processes. In addition, as further evidence of the expertise behind MindBridge’s software development, the Chief Technology Officer who created the software is a former IBM Distinguished Engineer and former Chief Architect of IBM Watson Analytics.</w:t>
      </w:r>
    </w:p>
    <w:p w14:paraId="47D8BB6A" w14:textId="77777777" w:rsidR="005359DC" w:rsidRDefault="005359DC" w:rsidP="005359DC">
      <w:pPr>
        <w:pStyle w:val="Default"/>
        <w:rPr>
          <w:rFonts w:asciiTheme="minorHAnsi" w:hAnsiTheme="minorHAnsi" w:cstheme="minorBidi"/>
        </w:rPr>
      </w:pPr>
    </w:p>
    <w:p w14:paraId="609A9DA2" w14:textId="77777777" w:rsidR="005359DC" w:rsidRDefault="005359DC" w:rsidP="005359DC">
      <w:pPr>
        <w:pStyle w:val="Default"/>
        <w:numPr>
          <w:ilvl w:val="0"/>
          <w:numId w:val="4"/>
        </w:numPr>
        <w:rPr>
          <w:rFonts w:asciiTheme="minorHAnsi" w:hAnsiTheme="minorHAnsi" w:cstheme="minorBidi"/>
        </w:rPr>
      </w:pPr>
      <w:r w:rsidRPr="3610F4F2">
        <w:rPr>
          <w:rFonts w:asciiTheme="minorHAnsi" w:hAnsiTheme="minorHAnsi" w:cstheme="minorBidi"/>
        </w:rPr>
        <w:t xml:space="preserve">The appropriateness </w:t>
      </w:r>
      <w:r>
        <w:rPr>
          <w:rFonts w:asciiTheme="minorHAnsi" w:hAnsiTheme="minorHAnsi" w:cstheme="minorBidi"/>
        </w:rPr>
        <w:t xml:space="preserve">of the inputs to the technology, including data and any related decisions </w:t>
      </w:r>
    </w:p>
    <w:p w14:paraId="269E3EAC" w14:textId="77777777" w:rsidR="005359DC" w:rsidRDefault="005359DC" w:rsidP="005359DC">
      <w:pPr>
        <w:pStyle w:val="Default"/>
        <w:ind w:left="1079"/>
        <w:rPr>
          <w:rFonts w:asciiTheme="minorHAnsi" w:hAnsiTheme="minorHAnsi" w:cstheme="minorBidi"/>
        </w:rPr>
      </w:pPr>
    </w:p>
    <w:p w14:paraId="1FD718C3" w14:textId="77777777" w:rsidR="005359DC" w:rsidRPr="001407BE" w:rsidDel="00D926C8" w:rsidRDefault="005359DC" w:rsidP="005359DC">
      <w:pPr>
        <w:pStyle w:val="Default"/>
        <w:ind w:left="1079"/>
        <w:rPr>
          <w:rFonts w:asciiTheme="minorHAnsi" w:hAnsiTheme="minorHAnsi" w:cstheme="minorBidi"/>
          <w:i/>
          <w:iCs/>
          <w:color w:val="2D3B49"/>
          <w:spacing w:val="8"/>
          <w:shd w:val="clear" w:color="auto" w:fill="FFFFFF"/>
        </w:rPr>
      </w:pPr>
      <w:r w:rsidRPr="6092CFFF">
        <w:rPr>
          <w:rFonts w:asciiTheme="minorHAnsi" w:hAnsiTheme="minorHAnsi" w:cstheme="minorBidi"/>
          <w:i/>
          <w:iCs/>
        </w:rPr>
        <w:t xml:space="preserve">MindBridge performs several validations checks to determine the quality, integrity, and completeness of the data it is provided. See completeness report located </w:t>
      </w:r>
      <w:proofErr w:type="gramStart"/>
      <w:r w:rsidRPr="6092CFFF">
        <w:rPr>
          <w:rFonts w:asciiTheme="minorHAnsi" w:hAnsiTheme="minorHAnsi" w:cstheme="minorBidi"/>
          <w:i/>
          <w:iCs/>
        </w:rPr>
        <w:t xml:space="preserve">at  </w:t>
      </w:r>
      <w:r w:rsidRPr="6092CFFF">
        <w:rPr>
          <w:rFonts w:asciiTheme="minorHAnsi" w:hAnsiTheme="minorHAnsi" w:cstheme="minorBidi"/>
          <w:i/>
          <w:iCs/>
          <w:color w:val="2D3B49"/>
          <w:spacing w:val="8"/>
          <w:shd w:val="clear" w:color="auto" w:fill="FFFFFF"/>
        </w:rPr>
        <w:t>XXXX.XX</w:t>
      </w:r>
      <w:proofErr w:type="gramEnd"/>
    </w:p>
    <w:p w14:paraId="19DDC73C" w14:textId="77777777" w:rsidR="005359DC" w:rsidRDefault="005359DC" w:rsidP="005359DC">
      <w:pPr>
        <w:autoSpaceDE w:val="0"/>
        <w:autoSpaceDN w:val="0"/>
        <w:adjustRightInd w:val="0"/>
        <w:spacing w:after="94" w:line="240" w:lineRule="auto"/>
        <w:rPr>
          <w:rFonts w:eastAsia="Times New Roman"/>
          <w:b/>
          <w:bCs/>
          <w:i/>
          <w:iCs/>
          <w:spacing w:val="8"/>
        </w:rPr>
      </w:pPr>
    </w:p>
    <w:p w14:paraId="6C310CD4" w14:textId="77777777" w:rsidR="005359DC" w:rsidRPr="00423B5B" w:rsidRDefault="005359DC" w:rsidP="005359DC">
      <w:pPr>
        <w:autoSpaceDE w:val="0"/>
        <w:autoSpaceDN w:val="0"/>
        <w:adjustRightInd w:val="0"/>
        <w:spacing w:after="94" w:line="240" w:lineRule="auto"/>
        <w:rPr>
          <w:b/>
          <w:bCs/>
          <w:i/>
          <w:iCs/>
          <w:sz w:val="24"/>
          <w:szCs w:val="24"/>
        </w:rPr>
      </w:pPr>
      <w:r w:rsidRPr="3610F4F2">
        <w:rPr>
          <w:rFonts w:eastAsia="Times New Roman"/>
          <w:b/>
          <w:bCs/>
          <w:i/>
          <w:iCs/>
          <w:spacing w:val="8"/>
        </w:rPr>
        <w:t>For Public Accounting Firms Only:</w:t>
      </w:r>
      <w:r w:rsidRPr="3610F4F2">
        <w:rPr>
          <w:rFonts w:eastAsia="Times New Roman"/>
          <w:b/>
          <w:bCs/>
          <w:spacing w:val="8"/>
        </w:rPr>
        <w:t xml:space="preserve"> ISQM</w:t>
      </w:r>
      <w:r w:rsidRPr="3610F4F2">
        <w:rPr>
          <w:rFonts w:eastAsia="Times New Roman"/>
          <w:b/>
          <w:bCs/>
          <w:i/>
          <w:iCs/>
          <w:spacing w:val="8"/>
        </w:rPr>
        <w:t xml:space="preserve"> </w:t>
      </w:r>
    </w:p>
    <w:p w14:paraId="30C61E86" w14:textId="77777777" w:rsidR="005359DC" w:rsidRDefault="005359DC" w:rsidP="005359DC">
      <w:pPr>
        <w:autoSpaceDE w:val="0"/>
        <w:autoSpaceDN w:val="0"/>
        <w:adjustRightInd w:val="0"/>
        <w:spacing w:after="94" w:line="240" w:lineRule="auto"/>
      </w:pPr>
      <w:r w:rsidRPr="3610F4F2">
        <w:t xml:space="preserve">We have also specifically assessed the following criteria based on the factors to rely on a service provider as outlined in ISQM 1 paragraph A107: </w:t>
      </w:r>
    </w:p>
    <w:p w14:paraId="3B8DB7BF" w14:textId="77777777" w:rsidR="005359DC" w:rsidRDefault="005359DC" w:rsidP="005359DC">
      <w:pPr>
        <w:autoSpaceDE w:val="0"/>
        <w:autoSpaceDN w:val="0"/>
        <w:adjustRightInd w:val="0"/>
        <w:spacing w:after="94" w:line="240" w:lineRule="auto"/>
      </w:pPr>
    </w:p>
    <w:p w14:paraId="46CEF5A6" w14:textId="77777777" w:rsidR="005359DC" w:rsidRDefault="005359DC" w:rsidP="005359DC">
      <w:pPr>
        <w:pStyle w:val="ListParagraph"/>
        <w:numPr>
          <w:ilvl w:val="0"/>
          <w:numId w:val="6"/>
        </w:numPr>
        <w:autoSpaceDE w:val="0"/>
        <w:autoSpaceDN w:val="0"/>
        <w:adjustRightInd w:val="0"/>
        <w:spacing w:after="94" w:line="240" w:lineRule="auto"/>
        <w:rPr>
          <w:shd w:val="clear" w:color="auto" w:fill="FFFFFF"/>
        </w:rPr>
      </w:pPr>
      <w:r>
        <w:rPr>
          <w:shd w:val="clear" w:color="auto" w:fill="FFFFFF"/>
        </w:rPr>
        <w:t xml:space="preserve">The related quality objective and quality risks </w:t>
      </w:r>
    </w:p>
    <w:p w14:paraId="0CB2C44A" w14:textId="77777777" w:rsidR="005359DC" w:rsidRDefault="005359DC" w:rsidP="005359DC">
      <w:pPr>
        <w:pStyle w:val="ListParagraph"/>
        <w:autoSpaceDE w:val="0"/>
        <w:autoSpaceDN w:val="0"/>
        <w:adjustRightInd w:val="0"/>
        <w:spacing w:after="94" w:line="240" w:lineRule="auto"/>
        <w:rPr>
          <w:shd w:val="clear" w:color="auto" w:fill="FFFFFF"/>
        </w:rPr>
      </w:pPr>
    </w:p>
    <w:p w14:paraId="4120FC56" w14:textId="77777777" w:rsidR="005359DC" w:rsidRPr="00420462" w:rsidRDefault="005359DC" w:rsidP="005359DC">
      <w:pPr>
        <w:autoSpaceDE w:val="0"/>
        <w:autoSpaceDN w:val="0"/>
        <w:adjustRightInd w:val="0"/>
        <w:spacing w:after="94" w:line="240" w:lineRule="auto"/>
        <w:ind w:left="720"/>
        <w:jc w:val="center"/>
        <w:rPr>
          <w:rFonts w:eastAsiaTheme="minorEastAsia"/>
          <w:i/>
          <w:iCs/>
          <w:shd w:val="clear" w:color="auto" w:fill="FFFFFF"/>
        </w:rPr>
      </w:pPr>
      <m:oMathPara>
        <m:oMathParaPr>
          <m:jc m:val="center"/>
        </m:oMathParaPr>
        <m:oMath>
          <m:r>
            <w:rPr>
              <w:rFonts w:ascii="Cambria Math" w:hAnsi="Cambria Math"/>
              <w:shd w:val="clear" w:color="auto" w:fill="FFFFFF"/>
            </w:rPr>
            <m:t xml:space="preserve">Audit risk=risk of maerial mistatement x detection risk </m:t>
          </m:r>
        </m:oMath>
      </m:oMathPara>
    </w:p>
    <w:p w14:paraId="297D4496" w14:textId="77777777" w:rsidR="005359DC" w:rsidRPr="00420462" w:rsidRDefault="005359DC" w:rsidP="005359DC">
      <w:pPr>
        <w:autoSpaceDE w:val="0"/>
        <w:autoSpaceDN w:val="0"/>
        <w:adjustRightInd w:val="0"/>
        <w:spacing w:after="94" w:line="240" w:lineRule="auto"/>
        <w:rPr>
          <w:rFonts w:eastAsiaTheme="minorEastAsia"/>
          <w:i/>
          <w:iCs/>
          <w:shd w:val="clear" w:color="auto" w:fill="FFFFFF"/>
        </w:rPr>
      </w:pPr>
      <w:r w:rsidRPr="00A42053">
        <w:rPr>
          <w:rFonts w:eastAsiaTheme="minorEastAsia"/>
          <w:i/>
          <w:shd w:val="clear" w:color="auto" w:fill="FFFFFF"/>
        </w:rPr>
        <w:lastRenderedPageBreak/>
        <w:tab/>
      </w:r>
      <w:r w:rsidRPr="00A42053">
        <w:rPr>
          <w:rFonts w:eastAsiaTheme="minorEastAsia"/>
          <w:i/>
          <w:shd w:val="clear" w:color="auto" w:fill="FFFFFF"/>
        </w:rPr>
        <w:tab/>
      </w:r>
      <w:r w:rsidRPr="3610F4F2">
        <w:rPr>
          <w:rFonts w:eastAsiaTheme="minorEastAsia"/>
          <w:i/>
          <w:iCs/>
        </w:rPr>
        <w:t>Where</w:t>
      </w:r>
      <w:r w:rsidRPr="3610F4F2">
        <w:rPr>
          <w:rFonts w:eastAsiaTheme="minorEastAsia"/>
          <w:i/>
          <w:iCs/>
          <w:shd w:val="clear" w:color="auto" w:fill="FFFFFF"/>
        </w:rPr>
        <w:t xml:space="preserve">, </w:t>
      </w:r>
    </w:p>
    <w:p w14:paraId="45BD040F" w14:textId="77777777" w:rsidR="005359DC" w:rsidRPr="00420462" w:rsidRDefault="005359DC" w:rsidP="005359DC">
      <w:pPr>
        <w:autoSpaceDE w:val="0"/>
        <w:autoSpaceDN w:val="0"/>
        <w:adjustRightInd w:val="0"/>
        <w:spacing w:after="94" w:line="240" w:lineRule="auto"/>
        <w:jc w:val="center"/>
        <w:rPr>
          <w:rFonts w:eastAsiaTheme="minorEastAsia"/>
          <w:i/>
          <w:iCs/>
          <w:shd w:val="clear" w:color="auto" w:fill="FFFFFF"/>
        </w:rPr>
      </w:pPr>
      <m:oMathPara>
        <m:oMath>
          <m:r>
            <w:rPr>
              <w:rFonts w:ascii="Cambria Math" w:hAnsi="Cambria Math"/>
              <w:shd w:val="clear" w:color="auto" w:fill="FFFFFF"/>
            </w:rPr>
            <m:t xml:space="preserve">Risk of material mistatement=inherent risk x control risk </m:t>
          </m:r>
        </m:oMath>
      </m:oMathPara>
    </w:p>
    <w:p w14:paraId="7F519DEB" w14:textId="77777777" w:rsidR="005359DC" w:rsidRPr="00420462" w:rsidRDefault="005359DC" w:rsidP="005359DC">
      <w:pPr>
        <w:autoSpaceDE w:val="0"/>
        <w:autoSpaceDN w:val="0"/>
        <w:adjustRightInd w:val="0"/>
        <w:spacing w:after="94" w:line="240" w:lineRule="auto"/>
        <w:rPr>
          <w:rFonts w:eastAsiaTheme="minorEastAsia"/>
          <w:i/>
          <w:iCs/>
          <w:shd w:val="clear" w:color="auto" w:fill="FFFFFF"/>
        </w:rPr>
      </w:pPr>
    </w:p>
    <w:p w14:paraId="792444D7" w14:textId="77777777" w:rsidR="005359DC" w:rsidRPr="00420462" w:rsidRDefault="005359DC" w:rsidP="005359DC">
      <w:pPr>
        <w:autoSpaceDE w:val="0"/>
        <w:autoSpaceDN w:val="0"/>
        <w:adjustRightInd w:val="0"/>
        <w:spacing w:after="94" w:line="240" w:lineRule="auto"/>
        <w:ind w:left="720"/>
        <w:rPr>
          <w:rFonts w:eastAsiaTheme="minorEastAsia"/>
          <w:i/>
          <w:iCs/>
          <w:shd w:val="clear" w:color="auto" w:fill="FFFFFF"/>
        </w:rPr>
      </w:pPr>
      <w:r w:rsidRPr="783A2AEA">
        <w:rPr>
          <w:rFonts w:eastAsiaTheme="minorEastAsia"/>
          <w:i/>
          <w:iCs/>
        </w:rPr>
        <w:t>MindBridge’s</w:t>
      </w:r>
      <w:r w:rsidRPr="783A2AEA">
        <w:rPr>
          <w:rFonts w:eastAsiaTheme="minorEastAsia"/>
          <w:i/>
          <w:iCs/>
          <w:shd w:val="clear" w:color="auto" w:fill="FFFFFF"/>
        </w:rPr>
        <w:t xml:space="preserve"> technology allows us to reduce detection risk by assessing multiple and simultaneous test of the entire ledger and brings higher risk transactions to the forefront for additional consideration. Further, due to the nature of the general ledger being analyzed</w:t>
      </w:r>
      <w:r w:rsidRPr="783A2AEA">
        <w:rPr>
          <w:rFonts w:eastAsiaTheme="minorEastAsia"/>
          <w:i/>
          <w:iCs/>
        </w:rPr>
        <w:t xml:space="preserve"> and the ability of MindBridge to re-aggregate the data to financial statement accounts and/or class of transactions we are able to</w:t>
      </w:r>
      <w:r w:rsidRPr="783A2AEA">
        <w:rPr>
          <w:rFonts w:eastAsiaTheme="minorEastAsia"/>
          <w:i/>
          <w:iCs/>
          <w:shd w:val="clear" w:color="auto" w:fill="FFFFFF"/>
        </w:rPr>
        <w:t xml:space="preserve"> gain real data related to a client’s inherent risk rather than rely upon only theoretical risk profiles of various accounts and/or classes of transactions. This enhanced ability to reduce detection risk and better fine-tune inherent risk reduces overall audit risk and increases overall quality. </w:t>
      </w:r>
    </w:p>
    <w:p w14:paraId="7F71F1B3" w14:textId="77777777" w:rsidR="005359DC" w:rsidRPr="00DA60C4" w:rsidRDefault="005359DC" w:rsidP="005359DC">
      <w:pPr>
        <w:autoSpaceDE w:val="0"/>
        <w:autoSpaceDN w:val="0"/>
        <w:adjustRightInd w:val="0"/>
        <w:spacing w:after="94" w:line="240" w:lineRule="auto"/>
        <w:rPr>
          <w:rFonts w:eastAsiaTheme="minorEastAsia"/>
          <w:shd w:val="clear" w:color="auto" w:fill="FFFFFF"/>
        </w:rPr>
      </w:pPr>
      <w:r>
        <w:rPr>
          <w:rFonts w:eastAsiaTheme="minorEastAsia"/>
          <w:shd w:val="clear" w:color="auto" w:fill="FFFFFF"/>
        </w:rPr>
        <w:tab/>
      </w:r>
      <w:r>
        <w:rPr>
          <w:rFonts w:eastAsiaTheme="minorEastAsia"/>
          <w:shd w:val="clear" w:color="auto" w:fill="FFFFFF"/>
        </w:rPr>
        <w:tab/>
      </w:r>
      <w:r>
        <w:rPr>
          <w:rFonts w:eastAsiaTheme="minorEastAsia"/>
          <w:shd w:val="clear" w:color="auto" w:fill="FFFFFF"/>
        </w:rPr>
        <w:tab/>
      </w:r>
    </w:p>
    <w:p w14:paraId="51525B22" w14:textId="77777777" w:rsidR="005359DC" w:rsidRDefault="005359DC" w:rsidP="005359DC">
      <w:pPr>
        <w:pStyle w:val="ListParagraph"/>
        <w:numPr>
          <w:ilvl w:val="0"/>
          <w:numId w:val="6"/>
        </w:numPr>
        <w:autoSpaceDE w:val="0"/>
        <w:autoSpaceDN w:val="0"/>
        <w:adjustRightInd w:val="0"/>
        <w:spacing w:after="94" w:line="240" w:lineRule="auto"/>
        <w:rPr>
          <w:shd w:val="clear" w:color="auto" w:fill="FFFFFF"/>
        </w:rPr>
      </w:pPr>
      <w:r>
        <w:t>The nature and scope of resources, and the conditions of the service (e.g.,</w:t>
      </w:r>
      <w:r>
        <w:rPr>
          <w:shd w:val="clear" w:color="auto" w:fill="FFFFFF"/>
        </w:rPr>
        <w:t xml:space="preserve"> in relation to an IT application, how often updates will be provided, limitations on the use of the IT application and how the service provider addresses the confidentiality of data) </w:t>
      </w:r>
    </w:p>
    <w:p w14:paraId="5F7F11F9" w14:textId="77777777" w:rsidR="005359DC" w:rsidRDefault="005359DC" w:rsidP="005359DC">
      <w:pPr>
        <w:pStyle w:val="ListParagraph"/>
        <w:autoSpaceDE w:val="0"/>
        <w:autoSpaceDN w:val="0"/>
        <w:adjustRightInd w:val="0"/>
        <w:spacing w:after="94" w:line="240" w:lineRule="auto"/>
        <w:rPr>
          <w:shd w:val="clear" w:color="auto" w:fill="FFFFFF"/>
        </w:rPr>
      </w:pPr>
    </w:p>
    <w:p w14:paraId="28E16981" w14:textId="77777777" w:rsidR="005359DC" w:rsidRPr="00420462" w:rsidRDefault="005359DC" w:rsidP="005359DC">
      <w:pPr>
        <w:pStyle w:val="ListParagraph"/>
        <w:autoSpaceDE w:val="0"/>
        <w:autoSpaceDN w:val="0"/>
        <w:adjustRightInd w:val="0"/>
        <w:spacing w:after="94" w:line="240" w:lineRule="auto"/>
        <w:rPr>
          <w:i/>
          <w:iCs/>
          <w:shd w:val="clear" w:color="auto" w:fill="FFFFFF"/>
        </w:rPr>
      </w:pPr>
      <w:r w:rsidRPr="3610F4F2">
        <w:rPr>
          <w:i/>
          <w:iCs/>
          <w:shd w:val="clear" w:color="auto" w:fill="FFFFFF"/>
        </w:rPr>
        <w:t xml:space="preserve">Scope: See #1 of Technology Ethics section. </w:t>
      </w:r>
    </w:p>
    <w:p w14:paraId="6A9950DA" w14:textId="77777777" w:rsidR="005359DC" w:rsidRPr="00420462" w:rsidRDefault="005359DC" w:rsidP="005359DC">
      <w:pPr>
        <w:pStyle w:val="ListParagraph"/>
        <w:autoSpaceDE w:val="0"/>
        <w:autoSpaceDN w:val="0"/>
        <w:adjustRightInd w:val="0"/>
        <w:spacing w:after="94" w:line="240" w:lineRule="auto"/>
        <w:rPr>
          <w:i/>
          <w:iCs/>
          <w:shd w:val="clear" w:color="auto" w:fill="FFFFFF"/>
        </w:rPr>
      </w:pPr>
    </w:p>
    <w:p w14:paraId="16BFB6FB" w14:textId="77777777" w:rsidR="005359DC" w:rsidRPr="00420462" w:rsidRDefault="005359DC" w:rsidP="005359DC">
      <w:pPr>
        <w:pStyle w:val="ListParagraph"/>
        <w:autoSpaceDE w:val="0"/>
        <w:autoSpaceDN w:val="0"/>
        <w:adjustRightInd w:val="0"/>
        <w:spacing w:after="94" w:line="240" w:lineRule="auto"/>
        <w:rPr>
          <w:i/>
          <w:iCs/>
          <w:shd w:val="clear" w:color="auto" w:fill="FFFFFF"/>
        </w:rPr>
      </w:pPr>
      <w:r w:rsidRPr="3610F4F2">
        <w:rPr>
          <w:i/>
          <w:iCs/>
          <w:shd w:val="clear" w:color="auto" w:fill="FFFFFF"/>
        </w:rPr>
        <w:t xml:space="preserve">Update Frequency: </w:t>
      </w:r>
      <w:r w:rsidRPr="3610F4F2">
        <w:rPr>
          <w:i/>
          <w:iCs/>
        </w:rPr>
        <w:t xml:space="preserve">Per inquiry with MindBridge customer service, major feature releases as typically scheduled for May, August, and November. However, there </w:t>
      </w:r>
      <w:r>
        <w:rPr>
          <w:i/>
          <w:iCs/>
        </w:rPr>
        <w:t xml:space="preserve">are </w:t>
      </w:r>
      <w:r w:rsidRPr="3610F4F2">
        <w:rPr>
          <w:i/>
          <w:iCs/>
          <w:shd w:val="clear" w:color="auto" w:fill="FFFFFF"/>
        </w:rPr>
        <w:t>r</w:t>
      </w:r>
      <w:r w:rsidRPr="3610F4F2">
        <w:rPr>
          <w:i/>
          <w:iCs/>
        </w:rPr>
        <w:t xml:space="preserve">egular minor releases </w:t>
      </w:r>
      <w:r w:rsidRPr="3610F4F2">
        <w:rPr>
          <w:i/>
          <w:iCs/>
          <w:shd w:val="clear" w:color="auto" w:fill="FFFFFF"/>
        </w:rPr>
        <w:t xml:space="preserve">on an ongoing basis for updates to improve the user experience. </w:t>
      </w:r>
    </w:p>
    <w:p w14:paraId="53DB715B" w14:textId="77777777" w:rsidR="005359DC" w:rsidRPr="00420462" w:rsidRDefault="005359DC" w:rsidP="005359DC">
      <w:pPr>
        <w:pStyle w:val="ListParagraph"/>
        <w:autoSpaceDE w:val="0"/>
        <w:autoSpaceDN w:val="0"/>
        <w:adjustRightInd w:val="0"/>
        <w:spacing w:after="94" w:line="240" w:lineRule="auto"/>
        <w:rPr>
          <w:i/>
          <w:iCs/>
          <w:shd w:val="clear" w:color="auto" w:fill="FFFFFF"/>
        </w:rPr>
      </w:pPr>
    </w:p>
    <w:p w14:paraId="2498966A" w14:textId="77777777" w:rsidR="005359DC" w:rsidRPr="00420462" w:rsidRDefault="005359DC" w:rsidP="005359DC">
      <w:pPr>
        <w:pStyle w:val="ListParagraph"/>
        <w:autoSpaceDE w:val="0"/>
        <w:autoSpaceDN w:val="0"/>
        <w:adjustRightInd w:val="0"/>
        <w:spacing w:after="94" w:line="240" w:lineRule="auto"/>
        <w:rPr>
          <w:i/>
          <w:iCs/>
          <w:shd w:val="clear" w:color="auto" w:fill="FFFFFF"/>
        </w:rPr>
      </w:pPr>
      <w:r w:rsidRPr="47345DEC">
        <w:rPr>
          <w:i/>
          <w:iCs/>
          <w:shd w:val="clear" w:color="auto" w:fill="FFFFFF"/>
        </w:rPr>
        <w:t xml:space="preserve">Data Confidentiality: </w:t>
      </w:r>
      <w:r w:rsidRPr="47345DEC">
        <w:rPr>
          <w:i/>
          <w:iCs/>
        </w:rPr>
        <w:t>As noted early, MindBridge</w:t>
      </w:r>
      <w:r w:rsidRPr="47345DEC">
        <w:rPr>
          <w:i/>
          <w:iCs/>
          <w:shd w:val="clear" w:color="auto" w:fill="FFFFFF"/>
        </w:rPr>
        <w:t xml:space="preserve"> maintains SOC 2 and ISO 27001 related to data security.  MindBridge is also fully compliant with relevant data privacy legislation in key markets in which it operates. More information can be found in MindBridge’s Privacy Policy, available at </w:t>
      </w:r>
      <w:r w:rsidRPr="47345DEC">
        <w:rPr>
          <w:i/>
          <w:iCs/>
        </w:rPr>
        <w:t>https://www.mindbridge.ai/privacy-policy/</w:t>
      </w:r>
    </w:p>
    <w:p w14:paraId="0CCF18A2" w14:textId="77777777" w:rsidR="005359DC" w:rsidRDefault="005359DC" w:rsidP="005359DC">
      <w:pPr>
        <w:pStyle w:val="ListParagraph"/>
        <w:autoSpaceDE w:val="0"/>
        <w:autoSpaceDN w:val="0"/>
        <w:adjustRightInd w:val="0"/>
        <w:spacing w:after="94" w:line="240" w:lineRule="auto"/>
        <w:rPr>
          <w:shd w:val="clear" w:color="auto" w:fill="FFFFFF"/>
        </w:rPr>
      </w:pPr>
    </w:p>
    <w:p w14:paraId="7FF0B432" w14:textId="77777777" w:rsidR="005359DC" w:rsidRPr="00D868F7" w:rsidRDefault="005359DC" w:rsidP="005359DC">
      <w:pPr>
        <w:pStyle w:val="ListParagraph"/>
        <w:numPr>
          <w:ilvl w:val="0"/>
          <w:numId w:val="6"/>
        </w:numPr>
        <w:autoSpaceDE w:val="0"/>
        <w:autoSpaceDN w:val="0"/>
        <w:adjustRightInd w:val="0"/>
        <w:spacing w:after="94" w:line="240" w:lineRule="auto"/>
        <w:rPr>
          <w:shd w:val="clear" w:color="auto" w:fill="FFFFFF"/>
        </w:rPr>
      </w:pPr>
      <w:r w:rsidRPr="00D868F7">
        <w:rPr>
          <w:shd w:val="clear" w:color="auto" w:fill="FFFFFF"/>
        </w:rPr>
        <w:t xml:space="preserve">The extent to which the resource is used across the firm, how the resource will be used by the firm and whether it is suitable for that purpose </w:t>
      </w:r>
    </w:p>
    <w:p w14:paraId="503DEEF4" w14:textId="77777777" w:rsidR="005359DC" w:rsidRDefault="005359DC" w:rsidP="005359DC">
      <w:pPr>
        <w:pStyle w:val="ListParagraph"/>
        <w:autoSpaceDE w:val="0"/>
        <w:autoSpaceDN w:val="0"/>
        <w:adjustRightInd w:val="0"/>
        <w:spacing w:after="94" w:line="240" w:lineRule="auto"/>
        <w:rPr>
          <w:shd w:val="clear" w:color="auto" w:fill="FFFFFF"/>
        </w:rPr>
      </w:pPr>
    </w:p>
    <w:p w14:paraId="7304EC2A" w14:textId="77777777" w:rsidR="005359DC" w:rsidRPr="00ED1ED7" w:rsidRDefault="005359DC" w:rsidP="005359DC">
      <w:pPr>
        <w:pStyle w:val="ListParagraph"/>
        <w:autoSpaceDE w:val="0"/>
        <w:autoSpaceDN w:val="0"/>
        <w:adjustRightInd w:val="0"/>
        <w:spacing w:after="94" w:line="240" w:lineRule="auto"/>
        <w:rPr>
          <w:i/>
          <w:iCs/>
          <w:shd w:val="clear" w:color="auto" w:fill="FFFFFF"/>
        </w:rPr>
      </w:pPr>
      <w:r>
        <w:rPr>
          <w:i/>
          <w:iCs/>
          <w:shd w:val="clear" w:color="auto" w:fill="FFFFFF"/>
        </w:rPr>
        <w:t>[Describe firm adoption of MindBridge]</w:t>
      </w:r>
    </w:p>
    <w:p w14:paraId="1EE50C2F" w14:textId="77777777" w:rsidR="005359DC" w:rsidRDefault="005359DC" w:rsidP="005359DC">
      <w:pPr>
        <w:pStyle w:val="ListParagraph"/>
        <w:autoSpaceDE w:val="0"/>
        <w:autoSpaceDN w:val="0"/>
        <w:adjustRightInd w:val="0"/>
        <w:spacing w:after="94" w:line="240" w:lineRule="auto"/>
        <w:rPr>
          <w:shd w:val="clear" w:color="auto" w:fill="FFFFFF"/>
        </w:rPr>
      </w:pPr>
    </w:p>
    <w:p w14:paraId="5411238A" w14:textId="77777777" w:rsidR="005359DC" w:rsidRDefault="005359DC" w:rsidP="005359DC">
      <w:pPr>
        <w:pStyle w:val="ListParagraph"/>
        <w:numPr>
          <w:ilvl w:val="0"/>
          <w:numId w:val="6"/>
        </w:numPr>
        <w:autoSpaceDE w:val="0"/>
        <w:autoSpaceDN w:val="0"/>
        <w:adjustRightInd w:val="0"/>
        <w:spacing w:after="94" w:line="240" w:lineRule="auto"/>
        <w:rPr>
          <w:shd w:val="clear" w:color="auto" w:fill="FFFFFF"/>
        </w:rPr>
      </w:pPr>
      <w:r>
        <w:rPr>
          <w:shd w:val="clear" w:color="auto" w:fill="FFFFFF"/>
        </w:rPr>
        <w:t xml:space="preserve">The extent of customization of the resource for the firm </w:t>
      </w:r>
    </w:p>
    <w:p w14:paraId="308D5560" w14:textId="77777777" w:rsidR="005359DC" w:rsidRDefault="005359DC" w:rsidP="005359DC">
      <w:pPr>
        <w:pStyle w:val="ListParagraph"/>
        <w:autoSpaceDE w:val="0"/>
        <w:autoSpaceDN w:val="0"/>
        <w:adjustRightInd w:val="0"/>
        <w:spacing w:after="94" w:line="240" w:lineRule="auto"/>
        <w:rPr>
          <w:shd w:val="clear" w:color="auto" w:fill="FFFFFF"/>
        </w:rPr>
      </w:pPr>
    </w:p>
    <w:p w14:paraId="39112176" w14:textId="77777777" w:rsidR="005359DC" w:rsidRDefault="005359DC" w:rsidP="005359DC">
      <w:pPr>
        <w:pStyle w:val="ListParagraph"/>
        <w:autoSpaceDE w:val="0"/>
        <w:autoSpaceDN w:val="0"/>
        <w:adjustRightInd w:val="0"/>
        <w:spacing w:after="94" w:line="240" w:lineRule="auto"/>
        <w:rPr>
          <w:i/>
          <w:iCs/>
          <w:shd w:val="clear" w:color="auto" w:fill="FFFFFF"/>
        </w:rPr>
      </w:pPr>
      <w:r w:rsidRPr="47345DEC">
        <w:rPr>
          <w:i/>
          <w:iCs/>
        </w:rPr>
        <w:t>MindBridge</w:t>
      </w:r>
      <w:r w:rsidRPr="47345DEC">
        <w:rPr>
          <w:i/>
          <w:iCs/>
          <w:shd w:val="clear" w:color="auto" w:fill="FFFFFF"/>
        </w:rPr>
        <w:t xml:space="preserve"> allows for in-tool configurations based on the engagement or firm-specific needs. In additional various template libraries are set up and used. </w:t>
      </w:r>
    </w:p>
    <w:p w14:paraId="613D80AF" w14:textId="77777777" w:rsidR="005359DC" w:rsidRDefault="005359DC" w:rsidP="005359DC">
      <w:pPr>
        <w:pStyle w:val="ListParagraph"/>
        <w:autoSpaceDE w:val="0"/>
        <w:autoSpaceDN w:val="0"/>
        <w:adjustRightInd w:val="0"/>
        <w:spacing w:after="94" w:line="240" w:lineRule="auto"/>
        <w:rPr>
          <w:i/>
          <w:iCs/>
          <w:shd w:val="clear" w:color="auto" w:fill="FFFFFF"/>
        </w:rPr>
      </w:pPr>
    </w:p>
    <w:p w14:paraId="0F7EAB18" w14:textId="77777777" w:rsidR="005359DC" w:rsidRPr="005E28E8" w:rsidRDefault="005359DC" w:rsidP="005359DC">
      <w:pPr>
        <w:pStyle w:val="ListParagraph"/>
        <w:autoSpaceDE w:val="0"/>
        <w:autoSpaceDN w:val="0"/>
        <w:adjustRightInd w:val="0"/>
        <w:spacing w:after="94" w:line="240" w:lineRule="auto"/>
        <w:rPr>
          <w:i/>
          <w:iCs/>
          <w:shd w:val="clear" w:color="auto" w:fill="FFFFFF"/>
        </w:rPr>
      </w:pPr>
      <w:r w:rsidRPr="3610F4F2">
        <w:rPr>
          <w:i/>
          <w:iCs/>
          <w:shd w:val="clear" w:color="auto" w:fill="FFFFFF"/>
        </w:rPr>
        <w:t xml:space="preserve">The Firm does not </w:t>
      </w:r>
      <w:r w:rsidRPr="3610F4F2">
        <w:rPr>
          <w:i/>
          <w:iCs/>
        </w:rPr>
        <w:t>have custom features in MindBridge</w:t>
      </w:r>
      <w:r w:rsidRPr="3610F4F2">
        <w:rPr>
          <w:i/>
          <w:iCs/>
          <w:shd w:val="clear" w:color="auto" w:fill="FFFFFF"/>
        </w:rPr>
        <w:t xml:space="preserve">. </w:t>
      </w:r>
      <w:r w:rsidRPr="3610F4F2">
        <w:rPr>
          <w:i/>
          <w:iCs/>
        </w:rPr>
        <w:t>MindBridge</w:t>
      </w:r>
      <w:r w:rsidRPr="3610F4F2">
        <w:rPr>
          <w:i/>
          <w:iCs/>
          <w:shd w:val="clear" w:color="auto" w:fill="FFFFFF"/>
        </w:rPr>
        <w:t xml:space="preserve"> does allow us to turn off Modules that we are not ready to use yet, but since they are not in use any such content is outside of the scope of this assessment pending our internal assessment of the module.  </w:t>
      </w:r>
    </w:p>
    <w:p w14:paraId="09767251" w14:textId="77777777" w:rsidR="005359DC" w:rsidRDefault="005359DC" w:rsidP="005359DC">
      <w:pPr>
        <w:pStyle w:val="ListParagraph"/>
        <w:autoSpaceDE w:val="0"/>
        <w:autoSpaceDN w:val="0"/>
        <w:adjustRightInd w:val="0"/>
        <w:spacing w:after="94" w:line="240" w:lineRule="auto"/>
        <w:rPr>
          <w:shd w:val="clear" w:color="auto" w:fill="FFFFFF"/>
        </w:rPr>
      </w:pPr>
    </w:p>
    <w:p w14:paraId="200C428D" w14:textId="77777777" w:rsidR="005359DC" w:rsidRDefault="005359DC" w:rsidP="005359DC">
      <w:pPr>
        <w:pStyle w:val="ListParagraph"/>
        <w:numPr>
          <w:ilvl w:val="0"/>
          <w:numId w:val="6"/>
        </w:numPr>
        <w:autoSpaceDE w:val="0"/>
        <w:autoSpaceDN w:val="0"/>
        <w:adjustRightInd w:val="0"/>
        <w:spacing w:after="94" w:line="240" w:lineRule="auto"/>
        <w:rPr>
          <w:shd w:val="clear" w:color="auto" w:fill="FFFFFF"/>
        </w:rPr>
      </w:pPr>
      <w:r>
        <w:rPr>
          <w:shd w:val="clear" w:color="auto" w:fill="FFFFFF"/>
        </w:rPr>
        <w:t xml:space="preserve">The firm’s previous use of service provider </w:t>
      </w:r>
    </w:p>
    <w:p w14:paraId="1161ECBF" w14:textId="77777777" w:rsidR="005359DC" w:rsidRDefault="005359DC" w:rsidP="005359DC">
      <w:pPr>
        <w:pStyle w:val="ListParagraph"/>
        <w:autoSpaceDE w:val="0"/>
        <w:autoSpaceDN w:val="0"/>
        <w:adjustRightInd w:val="0"/>
        <w:spacing w:after="94" w:line="240" w:lineRule="auto"/>
        <w:rPr>
          <w:i/>
          <w:iCs/>
          <w:shd w:val="clear" w:color="auto" w:fill="FFFFFF"/>
        </w:rPr>
      </w:pPr>
    </w:p>
    <w:p w14:paraId="74C426D6" w14:textId="77777777" w:rsidR="005359DC" w:rsidRDefault="005359DC" w:rsidP="005359DC">
      <w:pPr>
        <w:pStyle w:val="ListParagraph"/>
        <w:autoSpaceDE w:val="0"/>
        <w:autoSpaceDN w:val="0"/>
        <w:adjustRightInd w:val="0"/>
        <w:spacing w:after="94" w:line="240" w:lineRule="auto"/>
        <w:rPr>
          <w:i/>
          <w:iCs/>
          <w:shd w:val="clear" w:color="auto" w:fill="FFFFFF"/>
        </w:rPr>
      </w:pPr>
      <w:r w:rsidRPr="3610F4F2">
        <w:rPr>
          <w:i/>
          <w:iCs/>
          <w:shd w:val="clear" w:color="auto" w:fill="FFFFFF"/>
        </w:rPr>
        <w:t xml:space="preserve">For </w:t>
      </w:r>
      <w:r w:rsidRPr="3610F4F2">
        <w:rPr>
          <w:i/>
          <w:iCs/>
        </w:rPr>
        <w:t>longer-term customers</w:t>
      </w:r>
      <w:r w:rsidRPr="3610F4F2">
        <w:rPr>
          <w:i/>
          <w:iCs/>
          <w:shd w:val="clear" w:color="auto" w:fill="FFFFFF"/>
        </w:rPr>
        <w:t xml:space="preserve">:  </w:t>
      </w:r>
      <w:r w:rsidRPr="3610F4F2">
        <w:rPr>
          <w:i/>
          <w:iCs/>
        </w:rPr>
        <w:t>The Firm has used MindBridge</w:t>
      </w:r>
      <w:r w:rsidRPr="3610F4F2">
        <w:rPr>
          <w:i/>
          <w:iCs/>
          <w:shd w:val="clear" w:color="auto" w:fill="FFFFFF"/>
        </w:rPr>
        <w:t xml:space="preserve"> since [insert date] and continues to believe the tool provides values on engagements with the appropriate transparency as previously outlined. </w:t>
      </w:r>
    </w:p>
    <w:p w14:paraId="2412DC93" w14:textId="77777777" w:rsidR="005359DC" w:rsidRDefault="005359DC" w:rsidP="005359DC">
      <w:pPr>
        <w:pStyle w:val="ListParagraph"/>
        <w:autoSpaceDE w:val="0"/>
        <w:autoSpaceDN w:val="0"/>
        <w:adjustRightInd w:val="0"/>
        <w:spacing w:after="94" w:line="240" w:lineRule="auto"/>
        <w:rPr>
          <w:i/>
          <w:iCs/>
          <w:shd w:val="clear" w:color="auto" w:fill="FFFFFF"/>
        </w:rPr>
      </w:pPr>
    </w:p>
    <w:p w14:paraId="02A4BE8F" w14:textId="77777777" w:rsidR="005359DC" w:rsidRDefault="005359DC" w:rsidP="005359DC">
      <w:pPr>
        <w:pStyle w:val="ListParagraph"/>
        <w:autoSpaceDE w:val="0"/>
        <w:autoSpaceDN w:val="0"/>
        <w:adjustRightInd w:val="0"/>
        <w:spacing w:after="94" w:line="240" w:lineRule="auto"/>
        <w:rPr>
          <w:i/>
          <w:iCs/>
          <w:shd w:val="clear" w:color="auto" w:fill="FFFFFF"/>
        </w:rPr>
      </w:pPr>
      <w:r w:rsidRPr="19E73B3E">
        <w:rPr>
          <w:i/>
          <w:iCs/>
          <w:shd w:val="clear" w:color="auto" w:fill="FFFFFF"/>
        </w:rPr>
        <w:t xml:space="preserve">For new customers: MindBridge is a new tool for the Firm. However, we performed tests to determine the appropriate use of MindBridge. Also see below #6 for MindBridge’s experience in the industry. </w:t>
      </w:r>
    </w:p>
    <w:p w14:paraId="052F2E8C" w14:textId="77777777" w:rsidR="005359DC" w:rsidRPr="00DE5C22" w:rsidRDefault="005359DC" w:rsidP="005359DC">
      <w:pPr>
        <w:pStyle w:val="ListParagraph"/>
        <w:autoSpaceDE w:val="0"/>
        <w:autoSpaceDN w:val="0"/>
        <w:adjustRightInd w:val="0"/>
        <w:spacing w:after="94" w:line="240" w:lineRule="auto"/>
        <w:rPr>
          <w:shd w:val="clear" w:color="auto" w:fill="FFFFFF"/>
        </w:rPr>
      </w:pPr>
    </w:p>
    <w:p w14:paraId="7E1965FB" w14:textId="77777777" w:rsidR="005359DC" w:rsidRDefault="005359DC" w:rsidP="005359DC">
      <w:pPr>
        <w:pStyle w:val="ListParagraph"/>
        <w:numPr>
          <w:ilvl w:val="0"/>
          <w:numId w:val="6"/>
        </w:numPr>
        <w:autoSpaceDE w:val="0"/>
        <w:autoSpaceDN w:val="0"/>
        <w:adjustRightInd w:val="0"/>
        <w:spacing w:after="94" w:line="240" w:lineRule="auto"/>
        <w:rPr>
          <w:shd w:val="clear" w:color="auto" w:fill="FFFFFF"/>
        </w:rPr>
      </w:pPr>
      <w:r>
        <w:t>The service providers experience</w:t>
      </w:r>
      <w:r>
        <w:rPr>
          <w:shd w:val="clear" w:color="auto" w:fill="FFFFFF"/>
        </w:rPr>
        <w:t xml:space="preserve"> in the industry and reputation in the market </w:t>
      </w:r>
    </w:p>
    <w:p w14:paraId="2F6A5D10" w14:textId="77777777" w:rsidR="005359DC" w:rsidRPr="006A5688" w:rsidRDefault="005359DC" w:rsidP="005359DC">
      <w:pPr>
        <w:pStyle w:val="ListParagraph"/>
        <w:rPr>
          <w:shd w:val="clear" w:color="auto" w:fill="FFFFFF"/>
        </w:rPr>
      </w:pPr>
    </w:p>
    <w:p w14:paraId="1E81085B" w14:textId="77777777" w:rsidR="005359DC" w:rsidRPr="00870CDA" w:rsidRDefault="005359DC" w:rsidP="005359DC">
      <w:pPr>
        <w:pStyle w:val="ListParagraph"/>
        <w:autoSpaceDE w:val="0"/>
        <w:autoSpaceDN w:val="0"/>
        <w:adjustRightInd w:val="0"/>
        <w:spacing w:after="94" w:line="240" w:lineRule="auto"/>
        <w:rPr>
          <w:i/>
          <w:iCs/>
          <w:shd w:val="clear" w:color="auto" w:fill="FFFFFF"/>
        </w:rPr>
      </w:pPr>
      <w:r w:rsidRPr="783A2AEA">
        <w:rPr>
          <w:i/>
          <w:iCs/>
        </w:rPr>
        <w:t>In addition to the concepts already discussed in this document, MindBridge</w:t>
      </w:r>
      <w:r w:rsidRPr="783A2AEA">
        <w:rPr>
          <w:i/>
          <w:iCs/>
          <w:shd w:val="clear" w:color="auto" w:fill="FFFFFF"/>
        </w:rPr>
        <w:t xml:space="preserve"> was the first to bring ensemble</w:t>
      </w:r>
      <w:r w:rsidRPr="783A2AEA">
        <w:rPr>
          <w:i/>
          <w:iCs/>
        </w:rPr>
        <w:t xml:space="preserve"> AI that runs multiple tests at the same time on a ledger and weight the balances in order to</w:t>
      </w:r>
      <w:r w:rsidRPr="783A2AEA">
        <w:rPr>
          <w:i/>
          <w:iCs/>
          <w:shd w:val="clear" w:color="auto" w:fill="FFFFFF"/>
        </w:rPr>
        <w:t xml:space="preserve"> enable humans to discover more. This approach was then widely recognized</w:t>
      </w:r>
      <w:r w:rsidRPr="783A2AEA">
        <w:rPr>
          <w:i/>
          <w:iCs/>
        </w:rPr>
        <w:t xml:space="preserve"> as appropriate as after MindBridge</w:t>
      </w:r>
      <w:r w:rsidRPr="783A2AEA">
        <w:rPr>
          <w:i/>
          <w:iCs/>
          <w:shd w:val="clear" w:color="auto" w:fill="FFFFFF"/>
        </w:rPr>
        <w:t xml:space="preserve"> launched the most recent US project on audit evidence </w:t>
      </w:r>
      <w:r w:rsidRPr="783A2AEA">
        <w:rPr>
          <w:i/>
          <w:iCs/>
        </w:rPr>
        <w:t>(SAS 142) outlines an ADA Scoring Model in Exhibit A that summarizes the MindBridge</w:t>
      </w:r>
      <w:r w:rsidRPr="783A2AEA">
        <w:rPr>
          <w:i/>
          <w:iCs/>
          <w:shd w:val="clear" w:color="auto" w:fill="FFFFFF"/>
        </w:rPr>
        <w:t xml:space="preserve"> approach. </w:t>
      </w:r>
    </w:p>
    <w:p w14:paraId="572A40DB" w14:textId="77777777" w:rsidR="005359DC" w:rsidRDefault="005359DC" w:rsidP="005359DC">
      <w:pPr>
        <w:pStyle w:val="ListParagraph"/>
        <w:spacing w:after="94" w:line="240" w:lineRule="auto"/>
        <w:rPr>
          <w:i/>
          <w:iCs/>
        </w:rPr>
      </w:pPr>
    </w:p>
    <w:p w14:paraId="0B06FB70" w14:textId="77777777" w:rsidR="005359DC" w:rsidRPr="00B007D7" w:rsidRDefault="005359DC" w:rsidP="005359DC">
      <w:pPr>
        <w:shd w:val="clear" w:color="auto" w:fill="FFFFFF" w:themeFill="background1"/>
        <w:spacing w:before="100" w:beforeAutospacing="1" w:after="100" w:afterAutospacing="1" w:line="240" w:lineRule="auto"/>
        <w:rPr>
          <w:b/>
          <w:bCs/>
          <w:spacing w:val="8"/>
          <w:sz w:val="24"/>
          <w:szCs w:val="24"/>
          <w:shd w:val="clear" w:color="auto" w:fill="FFFFFF"/>
        </w:rPr>
      </w:pPr>
      <w:r w:rsidRPr="3610F4F2">
        <w:rPr>
          <w:b/>
          <w:bCs/>
          <w:spacing w:val="8"/>
          <w:sz w:val="24"/>
          <w:szCs w:val="24"/>
          <w:shd w:val="clear" w:color="auto" w:fill="FFFFFF"/>
        </w:rPr>
        <w:t>Conclusion</w:t>
      </w:r>
    </w:p>
    <w:p w14:paraId="25E89E0D" w14:textId="77777777" w:rsidR="005359DC" w:rsidRPr="00647B27" w:rsidRDefault="005359DC" w:rsidP="005359DC">
      <w:pPr>
        <w:shd w:val="clear" w:color="auto" w:fill="FFFFFF" w:themeFill="background1"/>
        <w:spacing w:before="100" w:beforeAutospacing="1" w:after="100" w:afterAutospacing="1" w:line="240" w:lineRule="auto"/>
        <w:rPr>
          <w:sz w:val="24"/>
          <w:szCs w:val="24"/>
        </w:rPr>
      </w:pPr>
      <w:r w:rsidRPr="3610F4F2">
        <w:rPr>
          <w:spacing w:val="8"/>
          <w:sz w:val="24"/>
          <w:szCs w:val="24"/>
          <w:shd w:val="clear" w:color="auto" w:fill="FFFFFF"/>
        </w:rPr>
        <w:t xml:space="preserve">As a result of our review, we have determined that MindBridge tools meet the technology reliability standards in the IESBA exposed revised Code of Ethics. </w:t>
      </w:r>
    </w:p>
    <w:p w14:paraId="755DEAF4" w14:textId="01716D2C" w:rsidR="00177F5E" w:rsidRDefault="004857E6"/>
    <w:sectPr w:rsidR="00177F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475DA" w14:textId="77777777" w:rsidR="004857E6" w:rsidRDefault="004857E6" w:rsidP="005359DC">
      <w:pPr>
        <w:spacing w:after="0" w:line="240" w:lineRule="auto"/>
      </w:pPr>
      <w:r>
        <w:separator/>
      </w:r>
    </w:p>
  </w:endnote>
  <w:endnote w:type="continuationSeparator" w:id="0">
    <w:p w14:paraId="2505B735" w14:textId="77777777" w:rsidR="004857E6" w:rsidRDefault="004857E6" w:rsidP="0053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8288" w14:textId="77777777" w:rsidR="004857E6" w:rsidRDefault="004857E6" w:rsidP="005359DC">
      <w:pPr>
        <w:spacing w:after="0" w:line="240" w:lineRule="auto"/>
      </w:pPr>
      <w:r>
        <w:separator/>
      </w:r>
    </w:p>
  </w:footnote>
  <w:footnote w:type="continuationSeparator" w:id="0">
    <w:p w14:paraId="33236137" w14:textId="77777777" w:rsidR="004857E6" w:rsidRDefault="004857E6" w:rsidP="005359DC">
      <w:pPr>
        <w:spacing w:after="0" w:line="240" w:lineRule="auto"/>
      </w:pPr>
      <w:r>
        <w:continuationSeparator/>
      </w:r>
    </w:p>
  </w:footnote>
  <w:footnote w:id="1">
    <w:p w14:paraId="6804328F" w14:textId="77777777" w:rsidR="005359DC" w:rsidRDefault="005359DC" w:rsidP="005359DC">
      <w:pPr>
        <w:pStyle w:val="FootnoteText"/>
      </w:pPr>
      <w:r>
        <w:rPr>
          <w:rStyle w:val="FootnoteReference"/>
        </w:rPr>
        <w:footnoteRef/>
      </w:r>
      <w:r>
        <w:t xml:space="preserve"> For Professional Accountants in Business, replace </w:t>
      </w:r>
      <w:r w:rsidRPr="008B4589">
        <w:t xml:space="preserve">citation to </w:t>
      </w:r>
      <w:r w:rsidRPr="3610F4F2">
        <w:rPr>
          <w:color w:val="000000"/>
        </w:rPr>
        <w:t>¶200.6 A2</w:t>
      </w:r>
      <w:r>
        <w:rPr>
          <w:color w:val="000000"/>
        </w:rPr>
        <w:t>. Also, replace the word “firm” in the 4</w:t>
      </w:r>
      <w:r w:rsidRPr="00507017">
        <w:rPr>
          <w:color w:val="000000"/>
          <w:vertAlign w:val="superscript"/>
        </w:rPr>
        <w:t>th</w:t>
      </w:r>
      <w:r>
        <w:rPr>
          <w:color w:val="000000"/>
        </w:rPr>
        <w:t xml:space="preserve"> bullet point to “accountant or the employing organization” </w:t>
      </w:r>
    </w:p>
  </w:footnote>
  <w:footnote w:id="2">
    <w:p w14:paraId="04148FFD" w14:textId="77777777" w:rsidR="005359DC" w:rsidRDefault="005359DC" w:rsidP="005359DC">
      <w:pPr>
        <w:pStyle w:val="FootnoteText"/>
      </w:pPr>
      <w:r>
        <w:rPr>
          <w:rStyle w:val="FootnoteReference"/>
        </w:rPr>
        <w:footnoteRef/>
      </w:r>
      <w:r>
        <w:t xml:space="preserve"> For Professional Accountant in Business see </w:t>
      </w:r>
      <w:r w:rsidRPr="3610F4F2">
        <w:t xml:space="preserve">¶220.7 A2 for factors for almost identical factors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5B06"/>
    <w:multiLevelType w:val="hybridMultilevel"/>
    <w:tmpl w:val="5B2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6047A"/>
    <w:multiLevelType w:val="hybridMultilevel"/>
    <w:tmpl w:val="FC2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32BBE"/>
    <w:multiLevelType w:val="hybridMultilevel"/>
    <w:tmpl w:val="638ED2B4"/>
    <w:lvl w:ilvl="0" w:tplc="FFFFFFFF">
      <w:start w:val="1"/>
      <w:numFmt w:val="decimal"/>
      <w:lvlText w:val="%1."/>
      <w:lvlJc w:val="left"/>
      <w:pPr>
        <w:ind w:left="1079" w:hanging="360"/>
      </w:pPr>
    </w:lvl>
    <w:lvl w:ilvl="1" w:tplc="FFFFFFFF">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3" w15:restartNumberingAfterBreak="0">
    <w:nsid w:val="73026D93"/>
    <w:multiLevelType w:val="hybridMultilevel"/>
    <w:tmpl w:val="FBEAD0AA"/>
    <w:lvl w:ilvl="0" w:tplc="EF2E744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BC748A4"/>
    <w:multiLevelType w:val="hybridMultilevel"/>
    <w:tmpl w:val="A78C4416"/>
    <w:lvl w:ilvl="0" w:tplc="86D86DC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B232F"/>
    <w:multiLevelType w:val="hybridMultilevel"/>
    <w:tmpl w:val="D7B2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NjexMDY2trA0tbBQ0lEKTi0uzszPAykwrAUArW9vkywAAAA="/>
  </w:docVars>
  <w:rsids>
    <w:rsidRoot w:val="000B6854"/>
    <w:rsid w:val="00067932"/>
    <w:rsid w:val="000B6854"/>
    <w:rsid w:val="000E1382"/>
    <w:rsid w:val="000F559D"/>
    <w:rsid w:val="004857E6"/>
    <w:rsid w:val="00492723"/>
    <w:rsid w:val="005359DC"/>
    <w:rsid w:val="00806450"/>
    <w:rsid w:val="00B04756"/>
    <w:rsid w:val="00C8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8D86"/>
  <w15:chartTrackingRefBased/>
  <w15:docId w15:val="{AD012741-5BB2-4663-B1ED-B948CC34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9DC"/>
    <w:rPr>
      <w:color w:val="0000FF"/>
      <w:u w:val="single"/>
    </w:rPr>
  </w:style>
  <w:style w:type="paragraph" w:customStyle="1" w:styleId="Default">
    <w:name w:val="Default"/>
    <w:rsid w:val="005359D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359DC"/>
    <w:rPr>
      <w:i/>
      <w:iCs/>
    </w:rPr>
  </w:style>
  <w:style w:type="paragraph" w:styleId="ListParagraph">
    <w:name w:val="List Paragraph"/>
    <w:basedOn w:val="Normal"/>
    <w:uiPriority w:val="34"/>
    <w:qFormat/>
    <w:rsid w:val="005359DC"/>
    <w:pPr>
      <w:ind w:left="720"/>
      <w:contextualSpacing/>
    </w:pPr>
  </w:style>
  <w:style w:type="paragraph" w:styleId="FootnoteText">
    <w:name w:val="footnote text"/>
    <w:basedOn w:val="Normal"/>
    <w:link w:val="FootnoteTextChar"/>
    <w:uiPriority w:val="99"/>
    <w:semiHidden/>
    <w:unhideWhenUsed/>
    <w:rsid w:val="00535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9DC"/>
    <w:rPr>
      <w:sz w:val="20"/>
      <w:szCs w:val="20"/>
    </w:rPr>
  </w:style>
  <w:style w:type="character" w:styleId="FootnoteReference">
    <w:name w:val="footnote reference"/>
    <w:basedOn w:val="DefaultParagraphFont"/>
    <w:uiPriority w:val="99"/>
    <w:semiHidden/>
    <w:unhideWhenUsed/>
    <w:rsid w:val="005359DC"/>
    <w:rPr>
      <w:vertAlign w:val="superscript"/>
    </w:rPr>
  </w:style>
  <w:style w:type="character" w:styleId="UnresolvedMention">
    <w:name w:val="Unresolved Mention"/>
    <w:basedOn w:val="DefaultParagraphFont"/>
    <w:uiPriority w:val="99"/>
    <w:semiHidden/>
    <w:unhideWhenUsed/>
    <w:rsid w:val="0006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isoiec-27001-information-securit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aicpa.org/interestareas/frc/assuranceadvisoryservices/aicpasoc2repor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ntrealdeclaration-responsibleai.com/the-decla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Users/danie/Downloads/Proposed-Technology-related-Revisions-to-the-Code.pdf" TargetMode="External"/><Relationship Id="rId5" Type="http://schemas.openxmlformats.org/officeDocument/2006/relationships/styles" Target="styles.xml"/><Relationship Id="rId15" Type="http://schemas.openxmlformats.org/officeDocument/2006/relationships/hyperlink" Target="https://www.icaew.com/membership/offers-discounts-and-services/icaew-accredited-technology/icaew-technology-accreditation-scheme" TargetMode="External"/><Relationship Id="rId10" Type="http://schemas.openxmlformats.org/officeDocument/2006/relationships/hyperlink" Target="https://www.ethicsboard.org/international-code-ethics-professional-account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listicai.com/ai-risk-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571CFD809C34C920C38549433B2FA" ma:contentTypeVersion="6" ma:contentTypeDescription="Create a new document." ma:contentTypeScope="" ma:versionID="dfe3fe7bd15f1abed81456295bb8aa33">
  <xsd:schema xmlns:xsd="http://www.w3.org/2001/XMLSchema" xmlns:xs="http://www.w3.org/2001/XMLSchema" xmlns:p="http://schemas.microsoft.com/office/2006/metadata/properties" xmlns:ns2="2355bd70-d01b-4887-9b6c-d6aff962038e" xmlns:ns3="3e37b882-0082-4c83-9913-912efd04deba" targetNamespace="http://schemas.microsoft.com/office/2006/metadata/properties" ma:root="true" ma:fieldsID="158aea408fbc6804148802bca8421118" ns2:_="" ns3:_="">
    <xsd:import namespace="2355bd70-d01b-4887-9b6c-d6aff962038e"/>
    <xsd:import namespace="3e37b882-0082-4c83-9913-912efd04de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d70-d01b-4887-9b6c-d6aff9620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7b882-0082-4c83-9913-912efd04d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55F3C-266C-49CD-939C-9EE26298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d70-d01b-4887-9b6c-d6aff962038e"/>
    <ds:schemaRef ds:uri="3e37b882-0082-4c83-9913-912efd04d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E617A-7C7E-4E71-8460-F397025D6541}">
  <ds:schemaRefs>
    <ds:schemaRef ds:uri="http://schemas.microsoft.com/sharepoint/v3/contenttype/forms"/>
  </ds:schemaRefs>
</ds:datastoreItem>
</file>

<file path=customXml/itemProps3.xml><?xml version="1.0" encoding="utf-8"?>
<ds:datastoreItem xmlns:ds="http://schemas.openxmlformats.org/officeDocument/2006/customXml" ds:itemID="{0C8FAD60-8701-4EEB-A90D-BC1430271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Supkis Cheek</dc:creator>
  <cp:keywords/>
  <dc:description/>
  <cp:lastModifiedBy>Iwona Aldomar</cp:lastModifiedBy>
  <cp:revision>2</cp:revision>
  <dcterms:created xsi:type="dcterms:W3CDTF">2023-04-24T12:54:00Z</dcterms:created>
  <dcterms:modified xsi:type="dcterms:W3CDTF">2023-04-24T12:54:00Z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0x010100FA7571CFD809C34C920C38549433B2FA</vt:lpwstr>
  </property>
</Properties>
</file>